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7A6B1" w14:textId="77777777" w:rsidR="0050437C" w:rsidRPr="00540B11" w:rsidRDefault="0050437C" w:rsidP="00434A52">
      <w:pPr>
        <w:autoSpaceDE w:val="0"/>
        <w:autoSpaceDN w:val="0"/>
        <w:adjustRightInd w:val="0"/>
        <w:rPr>
          <w:rFonts w:eastAsiaTheme="minorHAnsi" w:cs="Calibri"/>
          <w:color w:val="000000"/>
          <w:lang w:val="pl-PL"/>
        </w:rPr>
      </w:pPr>
      <w:r>
        <w:rPr>
          <w:rFonts w:eastAsiaTheme="minorHAnsi" w:cs="Calibri"/>
          <w:color w:val="000000"/>
          <w:lang w:val="pl-PL"/>
        </w:rPr>
        <w:t>7 maja 2020</w:t>
      </w:r>
    </w:p>
    <w:p w14:paraId="5B3F346A" w14:textId="77777777" w:rsidR="00F34482" w:rsidRPr="00434A52" w:rsidRDefault="00F34482" w:rsidP="00F34482">
      <w:pPr>
        <w:widowControl w:val="0"/>
        <w:autoSpaceDE w:val="0"/>
        <w:autoSpaceDN w:val="0"/>
        <w:adjustRightInd w:val="0"/>
        <w:spacing w:before="6" w:line="220" w:lineRule="exact"/>
        <w:rPr>
          <w:color w:val="000000"/>
          <w:lang w:val="pl-PL"/>
        </w:rPr>
      </w:pPr>
    </w:p>
    <w:p w14:paraId="22CAA811" w14:textId="341A7CD3" w:rsidR="00F34482" w:rsidRPr="00540B11" w:rsidRDefault="0050437C" w:rsidP="00624034">
      <w:pPr>
        <w:pStyle w:val="DocsubtitleAgency"/>
        <w:jc w:val="center"/>
        <w:rPr>
          <w:rFonts w:eastAsiaTheme="minorHAnsi" w:cs="Calibri"/>
          <w:color w:val="000000"/>
          <w:lang w:val="pl-PL"/>
        </w:rPr>
      </w:pPr>
      <w:r>
        <w:rPr>
          <w:rFonts w:eastAsiaTheme="minorHAnsi" w:cs="Calibri"/>
          <w:b/>
          <w:bCs/>
          <w:color w:val="000000"/>
          <w:lang w:val="pl-PL"/>
        </w:rPr>
        <w:t>K</w:t>
      </w:r>
      <w:r w:rsidR="00247DC8" w:rsidRPr="00540B11">
        <w:rPr>
          <w:rFonts w:eastAsiaTheme="minorHAnsi" w:cs="Calibri"/>
          <w:b/>
          <w:bCs/>
          <w:color w:val="000000"/>
          <w:lang w:val="pl-PL"/>
        </w:rPr>
        <w:t>omunikat d</w:t>
      </w:r>
      <w:r>
        <w:rPr>
          <w:rFonts w:eastAsiaTheme="minorHAnsi" w:cs="Calibri"/>
          <w:b/>
          <w:bCs/>
          <w:color w:val="000000"/>
          <w:lang w:val="pl-PL"/>
        </w:rPr>
        <w:t>o</w:t>
      </w:r>
      <w:r w:rsidR="00247DC8" w:rsidRPr="00540B11">
        <w:rPr>
          <w:rFonts w:eastAsiaTheme="minorHAnsi" w:cs="Calibri"/>
          <w:b/>
          <w:bCs/>
          <w:color w:val="000000"/>
          <w:lang w:val="pl-PL"/>
        </w:rPr>
        <w:t xml:space="preserve"> fachow</w:t>
      </w:r>
      <w:r>
        <w:rPr>
          <w:rFonts w:eastAsiaTheme="minorHAnsi" w:cs="Calibri"/>
          <w:b/>
          <w:bCs/>
          <w:color w:val="000000"/>
          <w:lang w:val="pl-PL"/>
        </w:rPr>
        <w:t xml:space="preserve">ych </w:t>
      </w:r>
      <w:r w:rsidR="00A22DD5">
        <w:rPr>
          <w:rFonts w:eastAsiaTheme="minorHAnsi" w:cs="Calibri"/>
          <w:b/>
          <w:bCs/>
          <w:color w:val="000000"/>
          <w:lang w:val="pl-PL"/>
        </w:rPr>
        <w:t>pracowników</w:t>
      </w:r>
      <w:r>
        <w:rPr>
          <w:rFonts w:eastAsiaTheme="minorHAnsi" w:cs="Calibri"/>
          <w:b/>
          <w:bCs/>
          <w:color w:val="000000"/>
          <w:lang w:val="pl-PL"/>
        </w:rPr>
        <w:t xml:space="preserve"> ochrony zdrowia</w:t>
      </w:r>
      <w:r w:rsidR="00247DC8" w:rsidRPr="00540B11">
        <w:rPr>
          <w:rFonts w:eastAsiaTheme="minorHAnsi" w:cs="Calibri"/>
          <w:b/>
          <w:bCs/>
          <w:color w:val="000000"/>
          <w:lang w:val="pl-PL"/>
        </w:rPr>
        <w:t xml:space="preserve"> </w:t>
      </w:r>
    </w:p>
    <w:p w14:paraId="519BCAFD" w14:textId="77777777" w:rsidR="00624034" w:rsidRPr="00540B11" w:rsidRDefault="00624034" w:rsidP="00F34482">
      <w:pPr>
        <w:autoSpaceDE w:val="0"/>
        <w:autoSpaceDN w:val="0"/>
        <w:adjustRightInd w:val="0"/>
        <w:rPr>
          <w:rFonts w:eastAsiaTheme="minorHAnsi" w:cs="Calibri"/>
          <w:color w:val="000000"/>
          <w:lang w:val="pl-PL"/>
        </w:rPr>
      </w:pPr>
    </w:p>
    <w:p w14:paraId="7A772A38" w14:textId="39DE0092" w:rsidR="00F34482" w:rsidRPr="00540B11" w:rsidRDefault="00247DC8" w:rsidP="00483630">
      <w:pPr>
        <w:pStyle w:val="DocsubtitleAgency"/>
        <w:rPr>
          <w:rFonts w:eastAsiaTheme="minorHAnsi" w:cs="Calibri"/>
          <w:color w:val="000000"/>
          <w:lang w:val="pl-PL"/>
        </w:rPr>
      </w:pPr>
      <w:r w:rsidRPr="00540B11">
        <w:rPr>
          <w:rFonts w:eastAsiaTheme="minorHAnsi" w:cs="Calibri"/>
          <w:b/>
          <w:bCs/>
          <w:color w:val="000000"/>
          <w:lang w:val="pl-PL"/>
        </w:rPr>
        <w:t>Produkty zawierające 5</w:t>
      </w:r>
      <w:r w:rsidRPr="00540B11">
        <w:rPr>
          <w:rFonts w:eastAsiaTheme="minorHAnsi" w:cs="Calibri"/>
          <w:b/>
          <w:bCs/>
          <w:color w:val="000000"/>
          <w:lang w:val="pl-PL"/>
        </w:rPr>
        <w:noBreakHyphen/>
      </w:r>
      <w:r w:rsidRPr="00540B11">
        <w:rPr>
          <w:rFonts w:eastAsia="Calibri" w:cs="Times New Roman"/>
          <w:b/>
          <w:lang w:val="pl-PL"/>
        </w:rPr>
        <w:t>fluorouracyl</w:t>
      </w:r>
      <w:r w:rsidRPr="00540B11">
        <w:rPr>
          <w:rFonts w:eastAsiaTheme="minorHAnsi" w:cs="Calibri"/>
          <w:b/>
          <w:bCs/>
          <w:color w:val="000000"/>
          <w:lang w:val="pl-PL"/>
        </w:rPr>
        <w:t xml:space="preserve"> </w:t>
      </w:r>
      <w:r w:rsidR="00D808D0">
        <w:rPr>
          <w:rFonts w:eastAsiaTheme="minorHAnsi" w:cs="Calibri"/>
          <w:b/>
          <w:bCs/>
          <w:color w:val="000000"/>
          <w:lang w:val="pl-PL"/>
        </w:rPr>
        <w:t>podawany dożylnie</w:t>
      </w:r>
      <w:r w:rsidR="00495768">
        <w:rPr>
          <w:rFonts w:eastAsiaTheme="minorHAnsi" w:cs="Calibri"/>
          <w:b/>
          <w:bCs/>
          <w:color w:val="000000"/>
          <w:lang w:val="pl-PL"/>
        </w:rPr>
        <w:t xml:space="preserve">, </w:t>
      </w:r>
      <w:proofErr w:type="spellStart"/>
      <w:r w:rsidRPr="00540B11">
        <w:rPr>
          <w:rFonts w:eastAsiaTheme="minorHAnsi" w:cs="Calibri"/>
          <w:b/>
          <w:bCs/>
          <w:color w:val="000000"/>
          <w:lang w:val="pl-PL"/>
        </w:rPr>
        <w:t>kapecytabinę</w:t>
      </w:r>
      <w:proofErr w:type="spellEnd"/>
      <w:r w:rsidRPr="00540B11">
        <w:rPr>
          <w:rFonts w:eastAsiaTheme="minorHAnsi" w:cs="Calibri"/>
          <w:b/>
          <w:bCs/>
          <w:color w:val="000000"/>
          <w:lang w:val="pl-PL"/>
        </w:rPr>
        <w:t xml:space="preserve"> i </w:t>
      </w:r>
      <w:proofErr w:type="spellStart"/>
      <w:r w:rsidRPr="00540B11">
        <w:rPr>
          <w:rFonts w:eastAsiaTheme="minorHAnsi" w:cs="Calibri"/>
          <w:b/>
          <w:bCs/>
          <w:color w:val="000000"/>
          <w:lang w:val="pl-PL"/>
        </w:rPr>
        <w:t>tegafur</w:t>
      </w:r>
      <w:proofErr w:type="spellEnd"/>
      <w:r w:rsidRPr="00540B11">
        <w:rPr>
          <w:rFonts w:eastAsiaTheme="minorHAnsi" w:cs="Calibri"/>
          <w:b/>
          <w:bCs/>
          <w:color w:val="000000"/>
          <w:lang w:val="pl-PL"/>
        </w:rPr>
        <w:t xml:space="preserve">: Badania przed </w:t>
      </w:r>
      <w:r w:rsidR="00D808D0">
        <w:rPr>
          <w:rFonts w:eastAsiaTheme="minorHAnsi" w:cs="Calibri"/>
          <w:b/>
          <w:bCs/>
          <w:color w:val="000000"/>
          <w:lang w:val="pl-PL"/>
        </w:rPr>
        <w:t>rozpoczęciem</w:t>
      </w:r>
      <w:r w:rsidR="00D808D0" w:rsidRPr="00540B11">
        <w:rPr>
          <w:rFonts w:eastAsiaTheme="minorHAnsi" w:cs="Calibri"/>
          <w:b/>
          <w:bCs/>
          <w:color w:val="000000"/>
          <w:lang w:val="pl-PL"/>
        </w:rPr>
        <w:t xml:space="preserve"> </w:t>
      </w:r>
      <w:r w:rsidRPr="00540B11">
        <w:rPr>
          <w:rFonts w:eastAsiaTheme="minorHAnsi" w:cs="Calibri"/>
          <w:b/>
          <w:bCs/>
          <w:color w:val="000000"/>
          <w:lang w:val="pl-PL"/>
        </w:rPr>
        <w:t xml:space="preserve">leczenia w celu </w:t>
      </w:r>
      <w:r w:rsidR="00CE5111">
        <w:rPr>
          <w:rFonts w:eastAsiaTheme="minorHAnsi" w:cs="Calibri"/>
          <w:b/>
          <w:bCs/>
          <w:color w:val="000000"/>
          <w:lang w:val="pl-PL"/>
        </w:rPr>
        <w:t>identyfikacji</w:t>
      </w:r>
      <w:r w:rsidR="00CE5111" w:rsidRPr="00540B11">
        <w:rPr>
          <w:rFonts w:eastAsiaTheme="minorHAnsi" w:cs="Calibri"/>
          <w:b/>
          <w:bCs/>
          <w:color w:val="000000"/>
          <w:lang w:val="pl-PL"/>
        </w:rPr>
        <w:t xml:space="preserve"> </w:t>
      </w:r>
      <w:r w:rsidRPr="00540B11">
        <w:rPr>
          <w:rFonts w:eastAsiaTheme="minorHAnsi" w:cs="Calibri"/>
          <w:b/>
          <w:bCs/>
          <w:color w:val="000000"/>
          <w:lang w:val="pl-PL"/>
        </w:rPr>
        <w:t xml:space="preserve">pacjentów z niedoborem </w:t>
      </w:r>
      <w:r w:rsidR="00CE5111">
        <w:rPr>
          <w:rFonts w:eastAsiaTheme="minorHAnsi" w:cs="Calibri"/>
          <w:b/>
          <w:bCs/>
          <w:color w:val="000000"/>
          <w:lang w:val="pl-PL"/>
        </w:rPr>
        <w:t>aktywności</w:t>
      </w:r>
      <w:r w:rsidR="008426B7">
        <w:rPr>
          <w:rFonts w:eastAsiaTheme="minorHAnsi" w:cs="Calibri"/>
          <w:b/>
          <w:bCs/>
          <w:color w:val="000000"/>
          <w:lang w:val="pl-PL"/>
        </w:rPr>
        <w:t xml:space="preserve"> dehydrogenazy </w:t>
      </w:r>
      <w:proofErr w:type="spellStart"/>
      <w:r w:rsidR="008426B7">
        <w:rPr>
          <w:rFonts w:eastAsiaTheme="minorHAnsi" w:cs="Calibri"/>
          <w:b/>
          <w:bCs/>
          <w:color w:val="000000"/>
          <w:lang w:val="pl-PL"/>
        </w:rPr>
        <w:t>dihydropirymidynowej</w:t>
      </w:r>
      <w:proofErr w:type="spellEnd"/>
      <w:r w:rsidR="00CE5111">
        <w:rPr>
          <w:rFonts w:eastAsiaTheme="minorHAnsi" w:cs="Calibri"/>
          <w:b/>
          <w:bCs/>
          <w:color w:val="000000"/>
          <w:lang w:val="pl-PL"/>
        </w:rPr>
        <w:t xml:space="preserve"> (</w:t>
      </w:r>
      <w:r w:rsidRPr="00540B11">
        <w:rPr>
          <w:rFonts w:eastAsiaTheme="minorHAnsi" w:cs="Calibri"/>
          <w:b/>
          <w:bCs/>
          <w:color w:val="000000"/>
          <w:lang w:val="pl-PL"/>
        </w:rPr>
        <w:t>DPD</w:t>
      </w:r>
      <w:r w:rsidR="00CE5111">
        <w:rPr>
          <w:rFonts w:eastAsiaTheme="minorHAnsi" w:cs="Calibri"/>
          <w:b/>
          <w:bCs/>
          <w:color w:val="000000"/>
          <w:lang w:val="pl-PL"/>
        </w:rPr>
        <w:t>)</w:t>
      </w:r>
      <w:r w:rsidRPr="00540B11">
        <w:rPr>
          <w:rFonts w:eastAsiaTheme="minorHAnsi" w:cs="Calibri"/>
          <w:b/>
          <w:bCs/>
          <w:color w:val="000000"/>
          <w:lang w:val="pl-PL"/>
        </w:rPr>
        <w:t>, u których występuje zwiększone ryzyko ciężkiej toksyczności</w:t>
      </w:r>
    </w:p>
    <w:p w14:paraId="17598EB6" w14:textId="36FDB1A0" w:rsidR="00F34482" w:rsidRPr="00F461B9" w:rsidRDefault="00247DC8" w:rsidP="001B2BDF">
      <w:pPr>
        <w:autoSpaceDE w:val="0"/>
        <w:autoSpaceDN w:val="0"/>
        <w:adjustRightInd w:val="0"/>
        <w:spacing w:after="140" w:line="280" w:lineRule="atLeast"/>
        <w:rPr>
          <w:rFonts w:eastAsiaTheme="minorHAnsi" w:cs="Calibri"/>
          <w:color w:val="000000"/>
          <w:lang w:val="pl-PL"/>
        </w:rPr>
      </w:pPr>
      <w:r w:rsidRPr="00F461B9">
        <w:rPr>
          <w:rFonts w:eastAsiaTheme="minorHAnsi" w:cs="Calibri"/>
          <w:color w:val="000000"/>
          <w:lang w:val="pl-PL"/>
        </w:rPr>
        <w:t xml:space="preserve">Szanowni </w:t>
      </w:r>
      <w:r w:rsidR="00CE5111">
        <w:rPr>
          <w:rFonts w:eastAsiaTheme="minorHAnsi" w:cs="Calibri"/>
          <w:color w:val="000000"/>
          <w:lang w:val="pl-PL"/>
        </w:rPr>
        <w:t>Państwo</w:t>
      </w:r>
      <w:r w:rsidRPr="00F461B9">
        <w:rPr>
          <w:rFonts w:eastAsiaTheme="minorHAnsi" w:cs="Calibri"/>
          <w:color w:val="000000"/>
          <w:lang w:val="pl-PL"/>
        </w:rPr>
        <w:t xml:space="preserve">, </w:t>
      </w:r>
    </w:p>
    <w:p w14:paraId="4E6C18E1" w14:textId="28854BED" w:rsidR="00F34482" w:rsidRPr="00540B11" w:rsidRDefault="00247DC8" w:rsidP="001B2BDF">
      <w:pPr>
        <w:pStyle w:val="BodytextAgency"/>
        <w:rPr>
          <w:rFonts w:eastAsiaTheme="minorHAnsi" w:cs="Calibri"/>
          <w:color w:val="000000"/>
          <w:lang w:val="pl-PL"/>
        </w:rPr>
      </w:pPr>
      <w:r w:rsidRPr="00540B11">
        <w:rPr>
          <w:rFonts w:eastAsiaTheme="minorHAnsi" w:cs="Calibri"/>
          <w:color w:val="000000"/>
          <w:lang w:val="pl-PL"/>
        </w:rPr>
        <w:t>Podmioty odpowiedzialne posiadające pozwolenia na dopuszczenie do obrotu leków zawierających 5</w:t>
      </w:r>
      <w:r w:rsidRPr="00540B11">
        <w:rPr>
          <w:rFonts w:eastAsiaTheme="minorHAnsi" w:cs="Calibri"/>
          <w:color w:val="000000"/>
          <w:lang w:val="pl-PL"/>
        </w:rPr>
        <w:noBreakHyphen/>
        <w:t>fluorouracyl (5</w:t>
      </w:r>
      <w:r w:rsidRPr="00540B11">
        <w:rPr>
          <w:rFonts w:eastAsiaTheme="minorHAnsi" w:cs="Calibri"/>
          <w:color w:val="000000"/>
          <w:lang w:val="pl-PL"/>
        </w:rPr>
        <w:noBreakHyphen/>
        <w:t>FU)</w:t>
      </w:r>
      <w:r w:rsidR="00D808D0">
        <w:rPr>
          <w:rFonts w:eastAsiaTheme="minorHAnsi" w:cs="Calibri"/>
          <w:color w:val="000000"/>
          <w:lang w:val="pl-PL"/>
        </w:rPr>
        <w:t xml:space="preserve"> podawany dożylnie</w:t>
      </w:r>
      <w:r w:rsidRPr="00540B11">
        <w:rPr>
          <w:rFonts w:eastAsiaTheme="minorHAnsi" w:cs="Calibri"/>
          <w:color w:val="000000"/>
          <w:lang w:val="pl-PL"/>
        </w:rPr>
        <w:t xml:space="preserve">, </w:t>
      </w:r>
      <w:proofErr w:type="spellStart"/>
      <w:r w:rsidRPr="00540B11">
        <w:rPr>
          <w:rFonts w:eastAsiaTheme="minorHAnsi" w:cs="Calibri"/>
          <w:color w:val="000000"/>
          <w:lang w:val="pl-PL"/>
        </w:rPr>
        <w:t>kapecytabinę</w:t>
      </w:r>
      <w:proofErr w:type="spellEnd"/>
      <w:r w:rsidRPr="00540B11">
        <w:rPr>
          <w:rFonts w:eastAsiaTheme="minorHAnsi" w:cs="Calibri"/>
          <w:color w:val="000000"/>
          <w:lang w:val="pl-PL"/>
        </w:rPr>
        <w:t xml:space="preserve"> i </w:t>
      </w:r>
      <w:proofErr w:type="spellStart"/>
      <w:r w:rsidRPr="00540B11">
        <w:rPr>
          <w:rFonts w:eastAsiaTheme="minorHAnsi" w:cs="Calibri"/>
          <w:color w:val="000000"/>
          <w:lang w:val="pl-PL"/>
        </w:rPr>
        <w:t>tegafur</w:t>
      </w:r>
      <w:proofErr w:type="spellEnd"/>
      <w:r w:rsidRPr="00540B11">
        <w:rPr>
          <w:rFonts w:eastAsiaTheme="minorHAnsi" w:cs="Calibri"/>
          <w:color w:val="000000"/>
          <w:lang w:val="pl-PL"/>
        </w:rPr>
        <w:t xml:space="preserve"> w porozumieniu z Europejską Agencją Leków i </w:t>
      </w:r>
      <w:r w:rsidR="00540B11">
        <w:rPr>
          <w:rFonts w:eastAsiaTheme="minorHAnsi" w:cs="Calibri"/>
          <w:color w:val="000000"/>
          <w:lang w:val="pl-PL"/>
        </w:rPr>
        <w:t>Urzędem Rejestracji Produktów Leczniczych, Wyrobów Medycznych i Produktów Biobójczych</w:t>
      </w:r>
      <w:r w:rsidRPr="00540B11">
        <w:rPr>
          <w:rFonts w:eastAsiaTheme="minorHAnsi" w:cs="Calibri"/>
          <w:color w:val="000000"/>
          <w:lang w:val="pl-PL"/>
        </w:rPr>
        <w:t xml:space="preserve"> </w:t>
      </w:r>
      <w:r w:rsidR="00835B60">
        <w:rPr>
          <w:rFonts w:eastAsiaTheme="minorHAnsi" w:cs="Calibri"/>
          <w:color w:val="000000"/>
          <w:lang w:val="pl-PL"/>
        </w:rPr>
        <w:t>pragną przekazać</w:t>
      </w:r>
      <w:r w:rsidRPr="00540B11">
        <w:rPr>
          <w:rFonts w:eastAsiaTheme="minorHAnsi" w:cs="Calibri"/>
          <w:color w:val="000000"/>
          <w:lang w:val="pl-PL"/>
        </w:rPr>
        <w:t xml:space="preserve"> następuj</w:t>
      </w:r>
      <w:r w:rsidR="0048796F">
        <w:rPr>
          <w:rFonts w:eastAsiaTheme="minorHAnsi" w:cs="Calibri"/>
          <w:color w:val="000000"/>
          <w:lang w:val="pl-PL"/>
        </w:rPr>
        <w:t>ąc</w:t>
      </w:r>
      <w:r w:rsidRPr="00540B11">
        <w:rPr>
          <w:rFonts w:eastAsiaTheme="minorHAnsi" w:cs="Calibri"/>
          <w:color w:val="000000"/>
          <w:lang w:val="pl-PL"/>
        </w:rPr>
        <w:t>e</w:t>
      </w:r>
      <w:r w:rsidR="00DF1A1C">
        <w:rPr>
          <w:rFonts w:eastAsiaTheme="minorHAnsi" w:cs="Calibri"/>
          <w:color w:val="000000"/>
          <w:lang w:val="pl-PL"/>
        </w:rPr>
        <w:t xml:space="preserve"> informacje</w:t>
      </w:r>
      <w:r w:rsidRPr="00540B11">
        <w:rPr>
          <w:rFonts w:eastAsiaTheme="minorHAnsi" w:cs="Calibri"/>
          <w:color w:val="000000"/>
          <w:lang w:val="pl-PL"/>
        </w:rPr>
        <w:t xml:space="preserve">: </w:t>
      </w:r>
    </w:p>
    <w:p w14:paraId="24035126" w14:textId="77777777" w:rsidR="00F34482" w:rsidRPr="00540B11" w:rsidRDefault="00F34482" w:rsidP="00F34482">
      <w:pPr>
        <w:autoSpaceDE w:val="0"/>
        <w:autoSpaceDN w:val="0"/>
        <w:adjustRightInd w:val="0"/>
        <w:rPr>
          <w:rFonts w:eastAsiaTheme="minorHAnsi" w:cs="Calibri"/>
          <w:b/>
          <w:bCs/>
          <w:color w:val="000000"/>
          <w:lang w:val="pl-PL"/>
        </w:rPr>
      </w:pPr>
    </w:p>
    <w:p w14:paraId="2E4CD761" w14:textId="1CBE961F" w:rsidR="00F34482" w:rsidRPr="00E33FB4" w:rsidRDefault="0034758B" w:rsidP="00483630">
      <w:pPr>
        <w:pStyle w:val="BodytextAgency"/>
        <w:rPr>
          <w:rFonts w:eastAsiaTheme="minorHAnsi" w:cs="Calibri"/>
          <w:b/>
          <w:bCs/>
          <w:color w:val="000000"/>
        </w:rPr>
      </w:pPr>
      <w:proofErr w:type="spellStart"/>
      <w:r>
        <w:rPr>
          <w:b/>
          <w:i/>
          <w:sz w:val="22"/>
          <w:szCs w:val="22"/>
        </w:rPr>
        <w:t>Podsumowanie</w:t>
      </w:r>
      <w:proofErr w:type="spellEnd"/>
    </w:p>
    <w:p w14:paraId="54EF5D08" w14:textId="5691E0A0" w:rsidR="00F34482" w:rsidRPr="00495768" w:rsidRDefault="00CE5111" w:rsidP="001B2BDF">
      <w:pPr>
        <w:pStyle w:val="BodytextAgency"/>
        <w:numPr>
          <w:ilvl w:val="0"/>
          <w:numId w:val="16"/>
        </w:numPr>
        <w:ind w:left="567" w:hanging="654"/>
        <w:rPr>
          <w:b/>
          <w:szCs w:val="22"/>
          <w:lang w:val="pl-PL"/>
        </w:rPr>
      </w:pPr>
      <w:r w:rsidRPr="00495768">
        <w:rPr>
          <w:b/>
          <w:szCs w:val="22"/>
          <w:lang w:val="pl-PL"/>
        </w:rPr>
        <w:t>U pacjentów</w:t>
      </w:r>
      <w:r w:rsidR="00247DC8" w:rsidRPr="00495768">
        <w:rPr>
          <w:b/>
          <w:szCs w:val="22"/>
          <w:lang w:val="pl-PL"/>
        </w:rPr>
        <w:t xml:space="preserve"> z częściowym </w:t>
      </w:r>
      <w:r w:rsidRPr="00495768">
        <w:rPr>
          <w:b/>
          <w:szCs w:val="22"/>
          <w:lang w:val="pl-PL"/>
        </w:rPr>
        <w:t xml:space="preserve">niedoborem </w:t>
      </w:r>
      <w:r w:rsidR="00247DC8" w:rsidRPr="00495768">
        <w:rPr>
          <w:b/>
          <w:szCs w:val="22"/>
          <w:lang w:val="pl-PL"/>
        </w:rPr>
        <w:t xml:space="preserve">lub całkowitym </w:t>
      </w:r>
      <w:r w:rsidR="00AB5ED6" w:rsidRPr="00495768">
        <w:rPr>
          <w:b/>
          <w:szCs w:val="22"/>
          <w:lang w:val="pl-PL"/>
        </w:rPr>
        <w:t>brakiem</w:t>
      </w:r>
      <w:r w:rsidR="00495768" w:rsidRPr="00495768">
        <w:rPr>
          <w:b/>
          <w:szCs w:val="22"/>
          <w:lang w:val="pl-PL"/>
        </w:rPr>
        <w:t xml:space="preserve"> </w:t>
      </w:r>
      <w:r w:rsidR="00AB5ED6" w:rsidRPr="00495768">
        <w:rPr>
          <w:b/>
          <w:szCs w:val="22"/>
          <w:lang w:val="pl-PL"/>
        </w:rPr>
        <w:t xml:space="preserve">aktywności </w:t>
      </w:r>
      <w:r w:rsidR="00247DC8" w:rsidRPr="00495768">
        <w:rPr>
          <w:b/>
          <w:szCs w:val="22"/>
          <w:lang w:val="pl-PL"/>
        </w:rPr>
        <w:t xml:space="preserve">dehydrogenazy </w:t>
      </w:r>
      <w:proofErr w:type="spellStart"/>
      <w:r w:rsidR="00247DC8" w:rsidRPr="00495768">
        <w:rPr>
          <w:b/>
          <w:szCs w:val="22"/>
          <w:lang w:val="pl-PL"/>
        </w:rPr>
        <w:t>dihydropirymidynowej</w:t>
      </w:r>
      <w:proofErr w:type="spellEnd"/>
      <w:r w:rsidR="00247DC8" w:rsidRPr="00495768">
        <w:rPr>
          <w:b/>
          <w:szCs w:val="22"/>
          <w:lang w:val="pl-PL"/>
        </w:rPr>
        <w:t xml:space="preserve"> (DPD) </w:t>
      </w:r>
      <w:r w:rsidRPr="00495768">
        <w:rPr>
          <w:b/>
          <w:szCs w:val="22"/>
          <w:lang w:val="pl-PL"/>
        </w:rPr>
        <w:t xml:space="preserve">występuje </w:t>
      </w:r>
      <w:r w:rsidR="00247DC8" w:rsidRPr="00495768">
        <w:rPr>
          <w:b/>
          <w:szCs w:val="22"/>
          <w:lang w:val="pl-PL"/>
        </w:rPr>
        <w:t xml:space="preserve">zwiększone ryzyko ciężkiej toksyczności podczas leczenia </w:t>
      </w:r>
      <w:proofErr w:type="spellStart"/>
      <w:r w:rsidR="00451B8F" w:rsidRPr="00495768">
        <w:rPr>
          <w:b/>
          <w:szCs w:val="22"/>
          <w:lang w:val="pl-PL"/>
        </w:rPr>
        <w:t>fluorop</w:t>
      </w:r>
      <w:r w:rsidR="00451B8F">
        <w:rPr>
          <w:b/>
          <w:szCs w:val="22"/>
          <w:lang w:val="pl-PL"/>
        </w:rPr>
        <w:t>i</w:t>
      </w:r>
      <w:r w:rsidR="00451B8F" w:rsidRPr="00495768">
        <w:rPr>
          <w:b/>
          <w:szCs w:val="22"/>
          <w:lang w:val="pl-PL"/>
        </w:rPr>
        <w:t>rymidynami</w:t>
      </w:r>
      <w:proofErr w:type="spellEnd"/>
      <w:r w:rsidR="00451B8F" w:rsidRPr="00495768">
        <w:rPr>
          <w:b/>
          <w:szCs w:val="22"/>
          <w:lang w:val="pl-PL"/>
        </w:rPr>
        <w:t xml:space="preserve"> </w:t>
      </w:r>
      <w:r w:rsidR="00247DC8" w:rsidRPr="00495768">
        <w:rPr>
          <w:b/>
          <w:szCs w:val="22"/>
          <w:lang w:val="pl-PL"/>
        </w:rPr>
        <w:t>(5</w:t>
      </w:r>
      <w:r w:rsidR="00247DC8" w:rsidRPr="00495768">
        <w:rPr>
          <w:b/>
          <w:szCs w:val="22"/>
          <w:lang w:val="pl-PL"/>
        </w:rPr>
        <w:noBreakHyphen/>
        <w:t xml:space="preserve">FU, </w:t>
      </w:r>
      <w:proofErr w:type="spellStart"/>
      <w:r w:rsidR="00247DC8" w:rsidRPr="00495768">
        <w:rPr>
          <w:b/>
          <w:szCs w:val="22"/>
          <w:lang w:val="pl-PL"/>
        </w:rPr>
        <w:t>kapecytabiną</w:t>
      </w:r>
      <w:proofErr w:type="spellEnd"/>
      <w:r w:rsidR="00247DC8" w:rsidRPr="00495768">
        <w:rPr>
          <w:b/>
          <w:szCs w:val="22"/>
          <w:lang w:val="pl-PL"/>
        </w:rPr>
        <w:t>, </w:t>
      </w:r>
      <w:proofErr w:type="spellStart"/>
      <w:r w:rsidR="00247DC8" w:rsidRPr="00495768">
        <w:rPr>
          <w:b/>
          <w:szCs w:val="22"/>
          <w:lang w:val="pl-PL"/>
        </w:rPr>
        <w:t>tegafurem</w:t>
      </w:r>
      <w:proofErr w:type="spellEnd"/>
      <w:r w:rsidR="00247DC8" w:rsidRPr="00495768">
        <w:rPr>
          <w:b/>
          <w:szCs w:val="22"/>
          <w:lang w:val="pl-PL"/>
        </w:rPr>
        <w:t xml:space="preserve">). </w:t>
      </w:r>
    </w:p>
    <w:p w14:paraId="7DD0EFF7" w14:textId="35635143" w:rsidR="00F34482" w:rsidRPr="00495768" w:rsidRDefault="00247DC8" w:rsidP="001B2BDF">
      <w:pPr>
        <w:pStyle w:val="BodytextAgency"/>
        <w:numPr>
          <w:ilvl w:val="0"/>
          <w:numId w:val="16"/>
        </w:numPr>
        <w:ind w:left="567" w:hanging="654"/>
        <w:rPr>
          <w:b/>
          <w:szCs w:val="22"/>
          <w:lang w:val="pl-PL"/>
        </w:rPr>
      </w:pPr>
      <w:r w:rsidRPr="00495768">
        <w:rPr>
          <w:b/>
          <w:szCs w:val="22"/>
          <w:lang w:val="pl-PL"/>
        </w:rPr>
        <w:t>Zaleca</w:t>
      </w:r>
      <w:r w:rsidR="00AA77C4" w:rsidRPr="00495768">
        <w:rPr>
          <w:b/>
          <w:szCs w:val="22"/>
          <w:lang w:val="pl-PL"/>
        </w:rPr>
        <w:t>ne jest wykonanie</w:t>
      </w:r>
      <w:r w:rsidRPr="00495768">
        <w:rPr>
          <w:b/>
          <w:szCs w:val="22"/>
          <w:lang w:val="pl-PL"/>
        </w:rPr>
        <w:t xml:space="preserve"> </w:t>
      </w:r>
      <w:r w:rsidR="00AA77C4" w:rsidRPr="00495768">
        <w:rPr>
          <w:b/>
          <w:szCs w:val="22"/>
          <w:lang w:val="pl-PL"/>
        </w:rPr>
        <w:t xml:space="preserve">badań </w:t>
      </w:r>
      <w:r w:rsidRPr="00495768">
        <w:rPr>
          <w:b/>
          <w:szCs w:val="22"/>
          <w:lang w:val="pl-PL"/>
        </w:rPr>
        <w:t>fenotyp</w:t>
      </w:r>
      <w:r w:rsidR="00AA77C4" w:rsidRPr="00495768">
        <w:rPr>
          <w:b/>
          <w:szCs w:val="22"/>
          <w:lang w:val="pl-PL"/>
        </w:rPr>
        <w:t>owych</w:t>
      </w:r>
      <w:r w:rsidRPr="00495768">
        <w:rPr>
          <w:b/>
          <w:szCs w:val="22"/>
          <w:lang w:val="pl-PL"/>
        </w:rPr>
        <w:t xml:space="preserve"> i/lub genotyp</w:t>
      </w:r>
      <w:r w:rsidR="00AA77C4" w:rsidRPr="00495768">
        <w:rPr>
          <w:b/>
          <w:szCs w:val="22"/>
          <w:lang w:val="pl-PL"/>
        </w:rPr>
        <w:t>owych</w:t>
      </w:r>
      <w:r w:rsidRPr="00495768">
        <w:rPr>
          <w:b/>
          <w:szCs w:val="22"/>
          <w:lang w:val="pl-PL"/>
        </w:rPr>
        <w:t xml:space="preserve"> przed rozpoczęciem leczenia </w:t>
      </w:r>
      <w:proofErr w:type="spellStart"/>
      <w:r w:rsidR="00451B8F" w:rsidRPr="00495768">
        <w:rPr>
          <w:b/>
          <w:szCs w:val="22"/>
          <w:lang w:val="pl-PL"/>
        </w:rPr>
        <w:t>fluorop</w:t>
      </w:r>
      <w:r w:rsidR="00451B8F">
        <w:rPr>
          <w:b/>
          <w:szCs w:val="22"/>
          <w:lang w:val="pl-PL"/>
        </w:rPr>
        <w:t>i</w:t>
      </w:r>
      <w:r w:rsidR="00451B8F" w:rsidRPr="00495768">
        <w:rPr>
          <w:b/>
          <w:szCs w:val="22"/>
          <w:lang w:val="pl-PL"/>
        </w:rPr>
        <w:t>rymidynami</w:t>
      </w:r>
      <w:proofErr w:type="spellEnd"/>
      <w:r w:rsidRPr="00495768">
        <w:rPr>
          <w:b/>
          <w:szCs w:val="22"/>
          <w:lang w:val="pl-PL"/>
        </w:rPr>
        <w:t>.</w:t>
      </w:r>
    </w:p>
    <w:p w14:paraId="5392E4CB" w14:textId="772D7412" w:rsidR="00F34482" w:rsidRPr="00495768" w:rsidRDefault="00247DC8" w:rsidP="001B2BDF">
      <w:pPr>
        <w:pStyle w:val="BodytextAgency"/>
        <w:numPr>
          <w:ilvl w:val="0"/>
          <w:numId w:val="16"/>
        </w:numPr>
        <w:ind w:left="567" w:hanging="654"/>
        <w:rPr>
          <w:b/>
          <w:szCs w:val="22"/>
          <w:lang w:val="pl-PL"/>
        </w:rPr>
      </w:pPr>
      <w:r w:rsidRPr="00495768">
        <w:rPr>
          <w:b/>
          <w:szCs w:val="22"/>
          <w:lang w:val="pl-PL"/>
        </w:rPr>
        <w:t>Leczenie produktami leczniczymi zawierającymi 5</w:t>
      </w:r>
      <w:r w:rsidRPr="00495768">
        <w:rPr>
          <w:b/>
          <w:szCs w:val="22"/>
          <w:lang w:val="pl-PL"/>
        </w:rPr>
        <w:noBreakHyphen/>
        <w:t xml:space="preserve">FU, </w:t>
      </w:r>
      <w:proofErr w:type="spellStart"/>
      <w:r w:rsidRPr="00495768">
        <w:rPr>
          <w:b/>
          <w:szCs w:val="22"/>
          <w:lang w:val="pl-PL"/>
        </w:rPr>
        <w:t>kapecytabinę</w:t>
      </w:r>
      <w:proofErr w:type="spellEnd"/>
      <w:r w:rsidRPr="00495768">
        <w:rPr>
          <w:b/>
          <w:szCs w:val="22"/>
          <w:lang w:val="pl-PL"/>
        </w:rPr>
        <w:t xml:space="preserve"> lub </w:t>
      </w:r>
      <w:proofErr w:type="spellStart"/>
      <w:r w:rsidRPr="00495768">
        <w:rPr>
          <w:b/>
          <w:szCs w:val="22"/>
          <w:lang w:val="pl-PL"/>
        </w:rPr>
        <w:t>tegafur</w:t>
      </w:r>
      <w:proofErr w:type="spellEnd"/>
      <w:r w:rsidRPr="00495768">
        <w:rPr>
          <w:b/>
          <w:szCs w:val="22"/>
          <w:lang w:val="pl-PL"/>
        </w:rPr>
        <w:t xml:space="preserve"> jest przeciwwskazane u pacjentów z </w:t>
      </w:r>
      <w:r w:rsidR="00EE2395" w:rsidRPr="00495768">
        <w:rPr>
          <w:b/>
          <w:szCs w:val="22"/>
          <w:lang w:val="pl-PL"/>
        </w:rPr>
        <w:t>rozpoznanym</w:t>
      </w:r>
      <w:r w:rsidRPr="00495768">
        <w:rPr>
          <w:b/>
          <w:szCs w:val="22"/>
          <w:lang w:val="pl-PL"/>
        </w:rPr>
        <w:t xml:space="preserve"> całkowitym </w:t>
      </w:r>
      <w:r w:rsidR="00AB5ED6" w:rsidRPr="00495768">
        <w:rPr>
          <w:b/>
          <w:szCs w:val="22"/>
          <w:lang w:val="pl-PL"/>
        </w:rPr>
        <w:t>brakiem</w:t>
      </w:r>
      <w:r w:rsidR="00833637" w:rsidRPr="00495768">
        <w:rPr>
          <w:b/>
          <w:szCs w:val="22"/>
          <w:lang w:val="pl-PL"/>
        </w:rPr>
        <w:t xml:space="preserve"> aktywności</w:t>
      </w:r>
      <w:r w:rsidRPr="00495768">
        <w:rPr>
          <w:b/>
          <w:szCs w:val="22"/>
          <w:lang w:val="pl-PL"/>
        </w:rPr>
        <w:t xml:space="preserve"> DPD.</w:t>
      </w:r>
    </w:p>
    <w:p w14:paraId="45602892" w14:textId="25CAD731" w:rsidR="00F34482" w:rsidRPr="00495768" w:rsidRDefault="00247DC8" w:rsidP="001B2BDF">
      <w:pPr>
        <w:pStyle w:val="BodytextAgency"/>
        <w:numPr>
          <w:ilvl w:val="0"/>
          <w:numId w:val="16"/>
        </w:numPr>
        <w:ind w:left="567" w:hanging="654"/>
        <w:rPr>
          <w:b/>
          <w:szCs w:val="22"/>
          <w:lang w:val="pl-PL"/>
        </w:rPr>
      </w:pPr>
      <w:r w:rsidRPr="00495768">
        <w:rPr>
          <w:b/>
          <w:szCs w:val="22"/>
          <w:lang w:val="pl-PL"/>
        </w:rPr>
        <w:t>U pacjentów ze zdiagnozowanym częściowym niedoborem</w:t>
      </w:r>
      <w:r w:rsidR="00EE2395" w:rsidRPr="00495768">
        <w:rPr>
          <w:b/>
          <w:szCs w:val="22"/>
          <w:lang w:val="pl-PL"/>
        </w:rPr>
        <w:t xml:space="preserve"> </w:t>
      </w:r>
      <w:r w:rsidRPr="00495768">
        <w:rPr>
          <w:b/>
          <w:szCs w:val="22"/>
          <w:lang w:val="pl-PL"/>
        </w:rPr>
        <w:t xml:space="preserve">DPD należy rozważyć zmniejszenie dawki początkowej. </w:t>
      </w:r>
    </w:p>
    <w:p w14:paraId="1501474D" w14:textId="3C02B3DC" w:rsidR="00F34482" w:rsidRPr="00495768" w:rsidRDefault="00AA77C4" w:rsidP="001B2BDF">
      <w:pPr>
        <w:pStyle w:val="BodytextAgency"/>
        <w:numPr>
          <w:ilvl w:val="0"/>
          <w:numId w:val="16"/>
        </w:numPr>
        <w:ind w:left="567" w:hanging="654"/>
        <w:rPr>
          <w:b/>
          <w:szCs w:val="22"/>
          <w:lang w:val="pl-PL"/>
        </w:rPr>
      </w:pPr>
      <w:r w:rsidRPr="00495768">
        <w:rPr>
          <w:b/>
          <w:szCs w:val="22"/>
          <w:lang w:val="pl-PL"/>
        </w:rPr>
        <w:t xml:space="preserve">Terapeutyczne monitorowanie (ang. </w:t>
      </w:r>
      <w:proofErr w:type="spellStart"/>
      <w:r w:rsidRPr="00495768">
        <w:rPr>
          <w:b/>
          <w:szCs w:val="22"/>
          <w:lang w:val="pl-PL"/>
        </w:rPr>
        <w:t>Therapeutic</w:t>
      </w:r>
      <w:proofErr w:type="spellEnd"/>
      <w:r w:rsidRPr="00495768">
        <w:rPr>
          <w:b/>
          <w:szCs w:val="22"/>
          <w:lang w:val="pl-PL"/>
        </w:rPr>
        <w:t xml:space="preserve"> </w:t>
      </w:r>
      <w:proofErr w:type="spellStart"/>
      <w:r w:rsidRPr="00495768">
        <w:rPr>
          <w:b/>
          <w:szCs w:val="22"/>
          <w:lang w:val="pl-PL"/>
        </w:rPr>
        <w:t>Drug</w:t>
      </w:r>
      <w:proofErr w:type="spellEnd"/>
      <w:r w:rsidRPr="00495768">
        <w:rPr>
          <w:b/>
          <w:szCs w:val="22"/>
          <w:lang w:val="pl-PL"/>
        </w:rPr>
        <w:t xml:space="preserve"> Monitoring – TDP)</w:t>
      </w:r>
      <w:r w:rsidR="00247DC8" w:rsidRPr="00495768">
        <w:rPr>
          <w:b/>
          <w:szCs w:val="22"/>
          <w:lang w:val="pl-PL"/>
        </w:rPr>
        <w:t xml:space="preserve"> stężeń </w:t>
      </w:r>
      <w:proofErr w:type="spellStart"/>
      <w:r w:rsidR="00247DC8" w:rsidRPr="00495768">
        <w:rPr>
          <w:b/>
          <w:szCs w:val="22"/>
          <w:lang w:val="pl-PL"/>
        </w:rPr>
        <w:t>fluorouracylu</w:t>
      </w:r>
      <w:proofErr w:type="spellEnd"/>
      <w:r w:rsidR="00247DC8" w:rsidRPr="00495768">
        <w:rPr>
          <w:b/>
          <w:szCs w:val="22"/>
          <w:lang w:val="pl-PL"/>
        </w:rPr>
        <w:t xml:space="preserve"> może prowadzić do lepszych wyników klinicznych u pacjentów otrzymujących 5-fluorouracyl</w:t>
      </w:r>
      <w:r w:rsidR="00833637" w:rsidRPr="00495768">
        <w:rPr>
          <w:b/>
          <w:szCs w:val="22"/>
          <w:lang w:val="pl-PL"/>
        </w:rPr>
        <w:t xml:space="preserve"> w ciągłej infuzji</w:t>
      </w:r>
      <w:r w:rsidR="00247DC8" w:rsidRPr="00495768">
        <w:rPr>
          <w:b/>
          <w:szCs w:val="22"/>
          <w:lang w:val="pl-PL"/>
        </w:rPr>
        <w:t>.</w:t>
      </w:r>
    </w:p>
    <w:p w14:paraId="6D191BC7" w14:textId="77777777" w:rsidR="00F34482" w:rsidRPr="00540B11" w:rsidRDefault="00F34482" w:rsidP="00F34482">
      <w:pPr>
        <w:autoSpaceDE w:val="0"/>
        <w:autoSpaceDN w:val="0"/>
        <w:adjustRightInd w:val="0"/>
        <w:rPr>
          <w:rFonts w:eastAsiaTheme="minorHAnsi" w:cs="Calibri"/>
          <w:color w:val="000000"/>
          <w:lang w:val="pl-PL"/>
        </w:rPr>
      </w:pPr>
    </w:p>
    <w:p w14:paraId="4E8035A7" w14:textId="1105D91E" w:rsidR="0034758B" w:rsidRDefault="0034758B" w:rsidP="00495768">
      <w:pPr>
        <w:pStyle w:val="BodytextAgency"/>
        <w:spacing w:after="0"/>
        <w:rPr>
          <w:b/>
          <w:i/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>Dodatkowe informacje dotyczące bezpieczeństwa</w:t>
      </w:r>
    </w:p>
    <w:p w14:paraId="286714B7" w14:textId="77777777" w:rsidR="006A3B9A" w:rsidRDefault="006A3B9A" w:rsidP="00495768">
      <w:pPr>
        <w:pStyle w:val="BodytextAgency"/>
        <w:spacing w:after="0"/>
        <w:rPr>
          <w:b/>
          <w:i/>
          <w:sz w:val="22"/>
          <w:szCs w:val="22"/>
          <w:lang w:val="pl-PL"/>
        </w:rPr>
      </w:pPr>
    </w:p>
    <w:p w14:paraId="297CCDF6" w14:textId="37BC018C" w:rsidR="00F34482" w:rsidRPr="00540B11" w:rsidRDefault="00AA77C4" w:rsidP="00495768">
      <w:pPr>
        <w:pStyle w:val="BodytextAgency"/>
        <w:spacing w:after="0"/>
        <w:rPr>
          <w:rFonts w:eastAsiaTheme="minorHAnsi" w:cs="Calibri"/>
          <w:color w:val="000000"/>
          <w:lang w:val="pl-PL"/>
        </w:rPr>
      </w:pPr>
      <w:proofErr w:type="spellStart"/>
      <w:r>
        <w:rPr>
          <w:lang w:val="pl-PL"/>
        </w:rPr>
        <w:t>F</w:t>
      </w:r>
      <w:r w:rsidR="00247DC8" w:rsidRPr="00540B11">
        <w:rPr>
          <w:lang w:val="pl-PL"/>
        </w:rPr>
        <w:t>luorop</w:t>
      </w:r>
      <w:r w:rsidR="00451B8F">
        <w:rPr>
          <w:lang w:val="pl-PL"/>
        </w:rPr>
        <w:t>i</w:t>
      </w:r>
      <w:r w:rsidR="00247DC8" w:rsidRPr="00540B11">
        <w:rPr>
          <w:lang w:val="pl-PL"/>
        </w:rPr>
        <w:t>rymidyn</w:t>
      </w:r>
      <w:r>
        <w:rPr>
          <w:lang w:val="pl-PL"/>
        </w:rPr>
        <w:t>y</w:t>
      </w:r>
      <w:proofErr w:type="spellEnd"/>
      <w:r>
        <w:rPr>
          <w:lang w:val="pl-PL"/>
        </w:rPr>
        <w:t xml:space="preserve"> to</w:t>
      </w:r>
      <w:r w:rsidR="00247DC8" w:rsidRPr="00540B11">
        <w:rPr>
          <w:rFonts w:eastAsiaTheme="minorHAnsi" w:cs="Calibri"/>
          <w:color w:val="000000"/>
          <w:lang w:val="pl-PL"/>
        </w:rPr>
        <w:t xml:space="preserve"> </w:t>
      </w:r>
      <w:r w:rsidRPr="00540B11">
        <w:rPr>
          <w:rFonts w:eastAsiaTheme="minorHAnsi" w:cs="Calibri"/>
          <w:color w:val="000000"/>
          <w:lang w:val="pl-PL"/>
        </w:rPr>
        <w:t>grup</w:t>
      </w:r>
      <w:r>
        <w:rPr>
          <w:rFonts w:eastAsiaTheme="minorHAnsi" w:cs="Calibri"/>
          <w:color w:val="000000"/>
          <w:lang w:val="pl-PL"/>
        </w:rPr>
        <w:t>a</w:t>
      </w:r>
      <w:r w:rsidRPr="00540B11">
        <w:rPr>
          <w:rFonts w:eastAsiaTheme="minorHAnsi" w:cs="Calibri"/>
          <w:color w:val="000000"/>
          <w:lang w:val="pl-PL"/>
        </w:rPr>
        <w:t xml:space="preserve"> </w:t>
      </w:r>
      <w:r w:rsidR="00247DC8" w:rsidRPr="00540B11">
        <w:rPr>
          <w:rFonts w:eastAsiaTheme="minorHAnsi" w:cs="Calibri"/>
          <w:color w:val="000000"/>
          <w:lang w:val="pl-PL"/>
        </w:rPr>
        <w:t>leków przeciwnowotworowych</w:t>
      </w:r>
      <w:r w:rsidR="00833637">
        <w:rPr>
          <w:rFonts w:eastAsiaTheme="minorHAnsi" w:cs="Calibri"/>
          <w:color w:val="000000"/>
          <w:lang w:val="pl-PL"/>
        </w:rPr>
        <w:t xml:space="preserve"> obejmująca</w:t>
      </w:r>
      <w:r w:rsidR="00247DC8" w:rsidRPr="00540B11">
        <w:rPr>
          <w:rFonts w:eastAsiaTheme="minorHAnsi" w:cs="Calibri"/>
          <w:color w:val="000000"/>
          <w:lang w:val="pl-PL"/>
        </w:rPr>
        <w:t xml:space="preserve"> 5</w:t>
      </w:r>
      <w:r w:rsidR="00247DC8" w:rsidRPr="00540B11">
        <w:rPr>
          <w:rFonts w:eastAsiaTheme="minorHAnsi" w:cs="Calibri"/>
          <w:color w:val="000000"/>
          <w:lang w:val="pl-PL"/>
        </w:rPr>
        <w:noBreakHyphen/>
        <w:t>fluorouracyl (5</w:t>
      </w:r>
      <w:r w:rsidR="00247DC8" w:rsidRPr="00540B11">
        <w:rPr>
          <w:rFonts w:eastAsiaTheme="minorHAnsi" w:cs="Calibri"/>
          <w:color w:val="000000"/>
          <w:lang w:val="pl-PL"/>
        </w:rPr>
        <w:noBreakHyphen/>
        <w:t xml:space="preserve">FU) i jego </w:t>
      </w:r>
      <w:r w:rsidR="00540B11">
        <w:rPr>
          <w:rFonts w:eastAsiaTheme="minorHAnsi" w:cs="Calibri"/>
          <w:color w:val="000000"/>
          <w:lang w:val="pl-PL"/>
        </w:rPr>
        <w:t>prekursor</w:t>
      </w:r>
      <w:r w:rsidR="00031740">
        <w:rPr>
          <w:rFonts w:eastAsiaTheme="minorHAnsi" w:cs="Calibri"/>
          <w:color w:val="000000"/>
          <w:lang w:val="pl-PL"/>
        </w:rPr>
        <w:t>y</w:t>
      </w:r>
      <w:r w:rsidR="00833637">
        <w:rPr>
          <w:rFonts w:eastAsiaTheme="minorHAnsi" w:cs="Calibri"/>
          <w:color w:val="000000"/>
          <w:lang w:val="pl-PL"/>
        </w:rPr>
        <w:t>:</w:t>
      </w:r>
      <w:r w:rsidR="00247DC8" w:rsidRPr="00540B11">
        <w:rPr>
          <w:rFonts w:eastAsiaTheme="minorHAnsi" w:cs="Calibri"/>
          <w:color w:val="000000"/>
          <w:lang w:val="pl-PL"/>
        </w:rPr>
        <w:t xml:space="preserve"> </w:t>
      </w:r>
      <w:proofErr w:type="spellStart"/>
      <w:r w:rsidR="00247DC8" w:rsidRPr="00540B11">
        <w:rPr>
          <w:rFonts w:eastAsiaTheme="minorHAnsi" w:cs="Calibri"/>
          <w:color w:val="000000"/>
          <w:lang w:val="pl-PL"/>
        </w:rPr>
        <w:t>kapecytabin</w:t>
      </w:r>
      <w:r w:rsidR="00833637">
        <w:rPr>
          <w:rFonts w:eastAsiaTheme="minorHAnsi" w:cs="Calibri"/>
          <w:color w:val="000000"/>
          <w:lang w:val="pl-PL"/>
        </w:rPr>
        <w:t>ę</w:t>
      </w:r>
      <w:proofErr w:type="spellEnd"/>
      <w:r w:rsidR="00247DC8" w:rsidRPr="00540B11">
        <w:rPr>
          <w:rFonts w:eastAsiaTheme="minorHAnsi" w:cs="Calibri"/>
          <w:color w:val="000000"/>
          <w:lang w:val="pl-PL"/>
        </w:rPr>
        <w:t xml:space="preserve"> i </w:t>
      </w:r>
      <w:proofErr w:type="spellStart"/>
      <w:r w:rsidR="00247DC8" w:rsidRPr="00540B11">
        <w:rPr>
          <w:rFonts w:eastAsiaTheme="minorHAnsi" w:cs="Calibri"/>
          <w:color w:val="000000"/>
          <w:lang w:val="pl-PL"/>
        </w:rPr>
        <w:t>tegafur</w:t>
      </w:r>
      <w:proofErr w:type="spellEnd"/>
      <w:r w:rsidR="00247DC8" w:rsidRPr="00540B11">
        <w:rPr>
          <w:rFonts w:eastAsiaTheme="minorHAnsi" w:cs="Calibri"/>
          <w:color w:val="000000"/>
          <w:lang w:val="pl-PL"/>
        </w:rPr>
        <w:t>, które mają różną postać:</w:t>
      </w:r>
    </w:p>
    <w:p w14:paraId="33F6123C" w14:textId="77777777" w:rsidR="00F34482" w:rsidRPr="00540B11" w:rsidRDefault="00F34482" w:rsidP="00F34482">
      <w:pPr>
        <w:autoSpaceDE w:val="0"/>
        <w:autoSpaceDN w:val="0"/>
        <w:adjustRightInd w:val="0"/>
        <w:rPr>
          <w:rFonts w:eastAsiaTheme="minorHAnsi" w:cstheme="minorBidi"/>
          <w:lang w:val="pl-PL"/>
        </w:rPr>
      </w:pPr>
    </w:p>
    <w:p w14:paraId="022666A9" w14:textId="406FE839" w:rsidR="00F34482" w:rsidRPr="00540B11" w:rsidRDefault="00247DC8" w:rsidP="00495768">
      <w:pPr>
        <w:numPr>
          <w:ilvl w:val="0"/>
          <w:numId w:val="16"/>
        </w:numPr>
        <w:autoSpaceDE w:val="0"/>
        <w:autoSpaceDN w:val="0"/>
        <w:adjustRightInd w:val="0"/>
        <w:spacing w:after="120" w:line="259" w:lineRule="auto"/>
        <w:rPr>
          <w:rFonts w:eastAsiaTheme="minorHAnsi" w:cs="Calibri"/>
          <w:lang w:val="pl-PL"/>
        </w:rPr>
      </w:pPr>
      <w:r w:rsidRPr="00540B11">
        <w:rPr>
          <w:rFonts w:eastAsiaTheme="minorHAnsi" w:cs="Calibri"/>
          <w:lang w:val="pl-PL"/>
        </w:rPr>
        <w:t>5</w:t>
      </w:r>
      <w:r w:rsidRPr="00540B11">
        <w:rPr>
          <w:rFonts w:eastAsiaTheme="minorHAnsi" w:cs="Calibri"/>
          <w:lang w:val="pl-PL"/>
        </w:rPr>
        <w:noBreakHyphen/>
        <w:t>FU do podawania pozajelitowego: skład</w:t>
      </w:r>
      <w:r w:rsidR="00AA77C4">
        <w:rPr>
          <w:rFonts w:eastAsiaTheme="minorHAnsi" w:cs="Calibri"/>
          <w:lang w:val="pl-PL"/>
        </w:rPr>
        <w:t>owa</w:t>
      </w:r>
      <w:r w:rsidRPr="00540B11">
        <w:rPr>
          <w:rFonts w:eastAsiaTheme="minorHAnsi" w:cs="Calibri"/>
          <w:lang w:val="pl-PL"/>
        </w:rPr>
        <w:t xml:space="preserve"> standardowej terapii różnych nowotworów złośliwych, w tym raka jelita grubego, trzustki, żołądka, gruczołu piersiowego oraz głowy i szyi, najczęściej stosowany w kojarzeniu z innymi lekami przeciwnowotworowymi. </w:t>
      </w:r>
    </w:p>
    <w:p w14:paraId="163D133A" w14:textId="7B81E451" w:rsidR="00F34482" w:rsidRPr="00540B11" w:rsidRDefault="00247DC8" w:rsidP="00495768">
      <w:pPr>
        <w:numPr>
          <w:ilvl w:val="0"/>
          <w:numId w:val="16"/>
        </w:numPr>
        <w:autoSpaceDE w:val="0"/>
        <w:autoSpaceDN w:val="0"/>
        <w:adjustRightInd w:val="0"/>
        <w:spacing w:after="120" w:line="259" w:lineRule="auto"/>
        <w:rPr>
          <w:rFonts w:eastAsiaTheme="minorHAnsi" w:cs="Calibri"/>
          <w:lang w:val="pl-PL"/>
        </w:rPr>
      </w:pPr>
      <w:proofErr w:type="spellStart"/>
      <w:r w:rsidRPr="00540B11">
        <w:rPr>
          <w:rFonts w:eastAsiaTheme="minorHAnsi" w:cs="Calibri"/>
          <w:lang w:val="pl-PL"/>
        </w:rPr>
        <w:t>Kapecytabina</w:t>
      </w:r>
      <w:proofErr w:type="spellEnd"/>
      <w:r w:rsidRPr="00540B11">
        <w:rPr>
          <w:rFonts w:eastAsiaTheme="minorHAnsi" w:cs="Calibri"/>
          <w:lang w:val="pl-PL"/>
        </w:rPr>
        <w:t xml:space="preserve">: doustny </w:t>
      </w:r>
      <w:r w:rsidR="00540B11">
        <w:rPr>
          <w:rFonts w:eastAsiaTheme="minorHAnsi" w:cs="Calibri"/>
          <w:lang w:val="pl-PL"/>
        </w:rPr>
        <w:t>prekursor</w:t>
      </w:r>
      <w:r w:rsidRPr="00540B11">
        <w:rPr>
          <w:rFonts w:eastAsiaTheme="minorHAnsi" w:cs="Calibri"/>
          <w:lang w:val="pl-PL"/>
        </w:rPr>
        <w:t xml:space="preserve"> 5</w:t>
      </w:r>
      <w:r w:rsidRPr="00540B11">
        <w:rPr>
          <w:rFonts w:eastAsiaTheme="minorHAnsi" w:cs="Calibri"/>
          <w:lang w:val="pl-PL"/>
        </w:rPr>
        <w:noBreakHyphen/>
        <w:t>FU wskazany w leczeniu raka jelita grubego, żołądka i gruczołu piersiowego.</w:t>
      </w:r>
    </w:p>
    <w:p w14:paraId="40174388" w14:textId="202C9D90" w:rsidR="00F34482" w:rsidRPr="00540B11" w:rsidRDefault="00247DC8" w:rsidP="00F34482">
      <w:pPr>
        <w:numPr>
          <w:ilvl w:val="0"/>
          <w:numId w:val="16"/>
        </w:numPr>
        <w:autoSpaceDE w:val="0"/>
        <w:autoSpaceDN w:val="0"/>
        <w:adjustRightInd w:val="0"/>
        <w:spacing w:after="215" w:line="259" w:lineRule="auto"/>
        <w:rPr>
          <w:rFonts w:eastAsiaTheme="minorHAnsi" w:cs="Calibri"/>
          <w:lang w:val="pl-PL"/>
        </w:rPr>
      </w:pPr>
      <w:proofErr w:type="spellStart"/>
      <w:r w:rsidRPr="00540B11">
        <w:rPr>
          <w:rFonts w:eastAsiaTheme="minorHAnsi" w:cs="Calibri"/>
          <w:lang w:val="pl-PL"/>
        </w:rPr>
        <w:lastRenderedPageBreak/>
        <w:t>Tegafur</w:t>
      </w:r>
      <w:proofErr w:type="spellEnd"/>
      <w:r w:rsidRPr="00540B11">
        <w:rPr>
          <w:rFonts w:eastAsiaTheme="minorHAnsi" w:cs="Calibri"/>
          <w:lang w:val="pl-PL"/>
        </w:rPr>
        <w:t xml:space="preserve">: doustny </w:t>
      </w:r>
      <w:r w:rsidR="00540B11">
        <w:rPr>
          <w:rFonts w:eastAsiaTheme="minorHAnsi" w:cs="Calibri"/>
          <w:lang w:val="pl-PL"/>
        </w:rPr>
        <w:t>prekursor</w:t>
      </w:r>
      <w:r w:rsidRPr="00540B11">
        <w:rPr>
          <w:rFonts w:eastAsiaTheme="minorHAnsi" w:cs="Calibri"/>
          <w:lang w:val="pl-PL"/>
        </w:rPr>
        <w:t xml:space="preserve"> 5</w:t>
      </w:r>
      <w:r w:rsidRPr="00540B11">
        <w:rPr>
          <w:rFonts w:eastAsiaTheme="minorHAnsi" w:cs="Calibri"/>
          <w:lang w:val="pl-PL"/>
        </w:rPr>
        <w:noBreakHyphen/>
        <w:t>FU dostępny</w:t>
      </w:r>
      <w:r w:rsidR="00540B11">
        <w:rPr>
          <w:rFonts w:eastAsiaTheme="minorHAnsi" w:cs="Calibri"/>
          <w:lang w:val="pl-PL"/>
        </w:rPr>
        <w:t xml:space="preserve"> </w:t>
      </w:r>
      <w:r w:rsidRPr="00540B11">
        <w:rPr>
          <w:rFonts w:eastAsiaTheme="minorHAnsi" w:cs="Calibri"/>
          <w:lang w:val="pl-PL"/>
        </w:rPr>
        <w:t xml:space="preserve">w </w:t>
      </w:r>
      <w:proofErr w:type="spellStart"/>
      <w:r w:rsidRPr="00540B11">
        <w:rPr>
          <w:rFonts w:eastAsiaTheme="minorHAnsi" w:cs="Calibri"/>
          <w:lang w:val="pl-PL"/>
        </w:rPr>
        <w:t>monoterapii</w:t>
      </w:r>
      <w:proofErr w:type="spellEnd"/>
      <w:r w:rsidRPr="00540B11">
        <w:rPr>
          <w:rFonts w:eastAsiaTheme="minorHAnsi" w:cs="Calibri"/>
          <w:lang w:val="pl-PL"/>
        </w:rPr>
        <w:t xml:space="preserve"> lub w skojarzeniu z dwoma </w:t>
      </w:r>
      <w:r w:rsidR="00031740">
        <w:rPr>
          <w:rFonts w:eastAsiaTheme="minorHAnsi" w:cs="Calibri"/>
          <w:lang w:val="pl-PL"/>
        </w:rPr>
        <w:t>lekami zmieniającymi metabolizm</w:t>
      </w:r>
      <w:r w:rsidRPr="00540B11">
        <w:rPr>
          <w:rFonts w:eastAsiaTheme="minorHAnsi" w:cs="Calibri"/>
          <w:lang w:val="pl-PL"/>
        </w:rPr>
        <w:t xml:space="preserve"> 5</w:t>
      </w:r>
      <w:r w:rsidRPr="00540B11">
        <w:rPr>
          <w:rFonts w:eastAsiaTheme="minorHAnsi" w:cs="Calibri"/>
          <w:lang w:val="pl-PL"/>
        </w:rPr>
        <w:noBreakHyphen/>
        <w:t xml:space="preserve">FU, tj. </w:t>
      </w:r>
      <w:proofErr w:type="spellStart"/>
      <w:r w:rsidRPr="00540B11">
        <w:rPr>
          <w:rFonts w:eastAsiaTheme="minorHAnsi" w:cs="Calibri"/>
          <w:lang w:val="pl-PL"/>
        </w:rPr>
        <w:t>gimeracylem</w:t>
      </w:r>
      <w:proofErr w:type="spellEnd"/>
      <w:r w:rsidRPr="00540B11">
        <w:rPr>
          <w:rFonts w:eastAsiaTheme="minorHAnsi" w:cs="Calibri"/>
          <w:lang w:val="pl-PL"/>
        </w:rPr>
        <w:t xml:space="preserve"> i </w:t>
      </w:r>
      <w:proofErr w:type="spellStart"/>
      <w:r w:rsidRPr="00540B11">
        <w:rPr>
          <w:rFonts w:eastAsiaTheme="minorHAnsi" w:cs="Calibri"/>
          <w:lang w:val="pl-PL"/>
        </w:rPr>
        <w:t>oteracylem</w:t>
      </w:r>
      <w:proofErr w:type="spellEnd"/>
      <w:r w:rsidRPr="00540B11">
        <w:rPr>
          <w:rFonts w:eastAsiaTheme="minorHAnsi" w:cs="Calibri"/>
          <w:lang w:val="pl-PL"/>
        </w:rPr>
        <w:t xml:space="preserve">, </w:t>
      </w:r>
      <w:r w:rsidR="00031740">
        <w:rPr>
          <w:rFonts w:eastAsiaTheme="minorHAnsi" w:cs="Calibri"/>
          <w:lang w:val="pl-PL"/>
        </w:rPr>
        <w:t xml:space="preserve">wskazanymi </w:t>
      </w:r>
      <w:r w:rsidRPr="00540B11">
        <w:rPr>
          <w:rFonts w:eastAsiaTheme="minorHAnsi" w:cs="Calibri"/>
          <w:lang w:val="pl-PL"/>
        </w:rPr>
        <w:t xml:space="preserve">w leczeniu raka żołądka. </w:t>
      </w:r>
    </w:p>
    <w:p w14:paraId="5786905F" w14:textId="38B23D54" w:rsidR="00F34482" w:rsidRPr="00540B11" w:rsidRDefault="00247DC8" w:rsidP="00495768">
      <w:pPr>
        <w:autoSpaceDE w:val="0"/>
        <w:autoSpaceDN w:val="0"/>
        <w:adjustRightInd w:val="0"/>
        <w:spacing w:after="120" w:line="280" w:lineRule="atLeast"/>
        <w:rPr>
          <w:rFonts w:eastAsia="Verdana"/>
          <w:lang w:val="pl-PL" w:eastAsia="en-GB"/>
        </w:rPr>
      </w:pPr>
      <w:r w:rsidRPr="00540B11">
        <w:rPr>
          <w:rFonts w:eastAsia="Verdana"/>
          <w:lang w:val="pl-PL"/>
        </w:rPr>
        <w:t xml:space="preserve">Dehydrogenaza </w:t>
      </w:r>
      <w:proofErr w:type="spellStart"/>
      <w:r w:rsidRPr="00540B11">
        <w:rPr>
          <w:rFonts w:eastAsia="Verdana"/>
          <w:lang w:val="pl-PL"/>
        </w:rPr>
        <w:t>dihydropirymidynowa</w:t>
      </w:r>
      <w:proofErr w:type="spellEnd"/>
      <w:r w:rsidRPr="00540B11">
        <w:rPr>
          <w:rFonts w:eastAsia="Verdana"/>
          <w:lang w:val="pl-PL"/>
        </w:rPr>
        <w:t xml:space="preserve"> (DPD) jest enzymem ograniczającym tempo katabolizmu 5</w:t>
      </w:r>
      <w:r w:rsidRPr="00540B11">
        <w:rPr>
          <w:rFonts w:eastAsia="Verdana"/>
          <w:lang w:val="pl-PL"/>
        </w:rPr>
        <w:noBreakHyphen/>
        <w:t xml:space="preserve">FU. Aktywność DPD </w:t>
      </w:r>
      <w:r w:rsidR="00D808D0">
        <w:rPr>
          <w:rFonts w:eastAsia="Verdana"/>
          <w:lang w:val="pl-PL"/>
        </w:rPr>
        <w:t>podlega dużej zmienności</w:t>
      </w:r>
      <w:r w:rsidRPr="00540B11">
        <w:rPr>
          <w:rFonts w:eastAsia="Verdana"/>
          <w:lang w:val="pl-PL"/>
        </w:rPr>
        <w:t xml:space="preserve">. Całkowity </w:t>
      </w:r>
      <w:r w:rsidR="008426B7">
        <w:rPr>
          <w:rFonts w:eastAsia="Verdana"/>
          <w:lang w:val="pl-PL"/>
        </w:rPr>
        <w:t>brak aktywności</w:t>
      </w:r>
      <w:r w:rsidR="008426B7" w:rsidRPr="00540B11">
        <w:rPr>
          <w:rFonts w:eastAsia="Verdana"/>
          <w:lang w:val="pl-PL"/>
        </w:rPr>
        <w:t xml:space="preserve"> </w:t>
      </w:r>
      <w:r w:rsidRPr="00540B11">
        <w:rPr>
          <w:rFonts w:eastAsia="Verdana"/>
          <w:lang w:val="pl-PL"/>
        </w:rPr>
        <w:t xml:space="preserve">DPD występuje rzadko (0,01-0,5% </w:t>
      </w:r>
      <w:r w:rsidR="00D808D0">
        <w:rPr>
          <w:rFonts w:eastAsia="Verdana"/>
          <w:lang w:val="pl-PL"/>
        </w:rPr>
        <w:t>populacji</w:t>
      </w:r>
      <w:r w:rsidR="00D808D0" w:rsidRPr="00540B11">
        <w:rPr>
          <w:rFonts w:eastAsia="Verdana"/>
          <w:lang w:val="pl-PL"/>
        </w:rPr>
        <w:t xml:space="preserve"> </w:t>
      </w:r>
      <w:r w:rsidRPr="00540B11">
        <w:rPr>
          <w:rFonts w:eastAsia="Verdana"/>
          <w:lang w:val="pl-PL"/>
        </w:rPr>
        <w:t>kaukaskiej). Szacuje się, że częściowy</w:t>
      </w:r>
      <w:r w:rsidR="00256A7A" w:rsidRPr="00540B11">
        <w:rPr>
          <w:rFonts w:eastAsia="Verdana"/>
          <w:lang w:val="pl-PL"/>
        </w:rPr>
        <w:t xml:space="preserve"> niedobór DPD występuje u 3-9</w:t>
      </w:r>
      <w:r w:rsidRPr="00540B11">
        <w:rPr>
          <w:rFonts w:eastAsia="Verdana"/>
          <w:lang w:val="pl-PL"/>
        </w:rPr>
        <w:t>% populacji kaukaskiej.</w:t>
      </w:r>
    </w:p>
    <w:p w14:paraId="7B968C12" w14:textId="549A7045" w:rsidR="00F34482" w:rsidRPr="00540B11" w:rsidRDefault="00247DC8" w:rsidP="00495768">
      <w:pPr>
        <w:pStyle w:val="BodytextAgency"/>
        <w:spacing w:after="120"/>
        <w:rPr>
          <w:rFonts w:eastAsiaTheme="minorHAnsi" w:cs="Calibri"/>
          <w:lang w:val="pl-PL"/>
        </w:rPr>
      </w:pPr>
      <w:r w:rsidRPr="00540B11">
        <w:rPr>
          <w:rFonts w:eastAsiaTheme="minorHAnsi" w:cs="Calibri"/>
          <w:lang w:val="pl-PL"/>
        </w:rPr>
        <w:t xml:space="preserve">Zaburzenie czynności enzymu DPD prowadzi do </w:t>
      </w:r>
      <w:r w:rsidR="008426B7" w:rsidRPr="00540B11">
        <w:rPr>
          <w:rFonts w:eastAsiaTheme="minorHAnsi" w:cs="Calibri"/>
          <w:lang w:val="pl-PL"/>
        </w:rPr>
        <w:t>zwiększ</w:t>
      </w:r>
      <w:r w:rsidR="008426B7">
        <w:rPr>
          <w:rFonts w:eastAsiaTheme="minorHAnsi" w:cs="Calibri"/>
          <w:lang w:val="pl-PL"/>
        </w:rPr>
        <w:t>onego</w:t>
      </w:r>
      <w:r w:rsidR="008426B7" w:rsidRPr="00540B11">
        <w:rPr>
          <w:rFonts w:eastAsiaTheme="minorHAnsi" w:cs="Calibri"/>
          <w:lang w:val="pl-PL"/>
        </w:rPr>
        <w:t xml:space="preserve"> </w:t>
      </w:r>
      <w:r w:rsidRPr="00540B11">
        <w:rPr>
          <w:rFonts w:eastAsiaTheme="minorHAnsi" w:cs="Calibri"/>
          <w:lang w:val="pl-PL"/>
        </w:rPr>
        <w:t>ryzyka ciężkiej lub zagrażającej życiu toksyczności u pacjentów leczonych 5</w:t>
      </w:r>
      <w:r w:rsidRPr="00540B11">
        <w:rPr>
          <w:rFonts w:eastAsiaTheme="minorHAnsi" w:cs="Calibri"/>
          <w:lang w:val="pl-PL"/>
        </w:rPr>
        <w:noBreakHyphen/>
        <w:t xml:space="preserve">FU lub jego </w:t>
      </w:r>
      <w:r w:rsidR="00540B11">
        <w:rPr>
          <w:rFonts w:eastAsiaTheme="minorHAnsi" w:cs="Calibri"/>
          <w:lang w:val="pl-PL"/>
        </w:rPr>
        <w:t>prekursorami</w:t>
      </w:r>
      <w:r w:rsidRPr="00540B11">
        <w:rPr>
          <w:rFonts w:eastAsiaTheme="minorHAnsi" w:cs="Calibri"/>
          <w:lang w:val="pl-PL"/>
        </w:rPr>
        <w:t xml:space="preserve">. </w:t>
      </w:r>
      <w:r w:rsidR="00D808D0" w:rsidRPr="00A048DB">
        <w:rPr>
          <w:lang w:val="pl-PL"/>
        </w:rPr>
        <w:t>Ciężka toksyczność może wystąpić pomimo negatywnych wyników badań na niedobór DPD.</w:t>
      </w:r>
    </w:p>
    <w:p w14:paraId="598879C3" w14:textId="42942E1A" w:rsidR="00F34482" w:rsidRPr="00540B11" w:rsidRDefault="008426B7" w:rsidP="00495768">
      <w:pPr>
        <w:pStyle w:val="BodytextAgency"/>
        <w:numPr>
          <w:ilvl w:val="0"/>
          <w:numId w:val="17"/>
        </w:numPr>
        <w:spacing w:after="120"/>
        <w:rPr>
          <w:rFonts w:eastAsiaTheme="minorHAnsi" w:cs="Calibri"/>
          <w:lang w:val="pl-PL"/>
        </w:rPr>
      </w:pPr>
      <w:r>
        <w:rPr>
          <w:rFonts w:eastAsiaTheme="minorHAnsi" w:cs="Calibri"/>
          <w:lang w:val="pl-PL"/>
        </w:rPr>
        <w:t>U p</w:t>
      </w:r>
      <w:r w:rsidR="00247DC8" w:rsidRPr="00540B11">
        <w:rPr>
          <w:rFonts w:eastAsiaTheme="minorHAnsi" w:cs="Calibri"/>
          <w:lang w:val="pl-PL"/>
        </w:rPr>
        <w:t>acjen</w:t>
      </w:r>
      <w:r>
        <w:rPr>
          <w:rFonts w:eastAsiaTheme="minorHAnsi" w:cs="Calibri"/>
          <w:lang w:val="pl-PL"/>
        </w:rPr>
        <w:t>tów</w:t>
      </w:r>
      <w:r w:rsidR="00247DC8" w:rsidRPr="00540B11">
        <w:rPr>
          <w:rFonts w:eastAsiaTheme="minorHAnsi" w:cs="Calibri"/>
          <w:lang w:val="pl-PL"/>
        </w:rPr>
        <w:t xml:space="preserve"> z </w:t>
      </w:r>
      <w:r w:rsidR="00247DC8" w:rsidRPr="00540B11">
        <w:rPr>
          <w:rFonts w:eastAsiaTheme="minorHAnsi" w:cs="Calibri"/>
          <w:u w:val="single"/>
          <w:lang w:val="pl-PL"/>
        </w:rPr>
        <w:t xml:space="preserve">całkowitym </w:t>
      </w:r>
      <w:r>
        <w:rPr>
          <w:rFonts w:eastAsiaTheme="minorHAnsi" w:cs="Calibri"/>
          <w:u w:val="single"/>
          <w:lang w:val="pl-PL"/>
        </w:rPr>
        <w:t>brakiem aktywności</w:t>
      </w:r>
      <w:r w:rsidRPr="00540B11">
        <w:rPr>
          <w:rFonts w:eastAsiaTheme="minorHAnsi" w:cs="Calibri"/>
          <w:u w:val="single"/>
          <w:lang w:val="pl-PL"/>
        </w:rPr>
        <w:t xml:space="preserve"> </w:t>
      </w:r>
      <w:r w:rsidR="00247DC8" w:rsidRPr="00540B11">
        <w:rPr>
          <w:rFonts w:eastAsiaTheme="minorHAnsi" w:cs="Calibri"/>
          <w:u w:val="single"/>
          <w:lang w:val="pl-PL"/>
        </w:rPr>
        <w:t>DPD</w:t>
      </w:r>
      <w:r w:rsidR="00247DC8" w:rsidRPr="00540B11">
        <w:rPr>
          <w:rFonts w:eastAsiaTheme="minorHAnsi" w:cs="Calibri"/>
          <w:lang w:val="pl-PL"/>
        </w:rPr>
        <w:t xml:space="preserve"> </w:t>
      </w:r>
      <w:r>
        <w:rPr>
          <w:rFonts w:eastAsiaTheme="minorHAnsi" w:cs="Calibri"/>
          <w:lang w:val="pl-PL"/>
        </w:rPr>
        <w:t xml:space="preserve">występuje wysokie </w:t>
      </w:r>
      <w:r w:rsidR="00247DC8" w:rsidRPr="00540B11">
        <w:rPr>
          <w:rFonts w:eastAsiaTheme="minorHAnsi" w:cs="Calibri"/>
          <w:lang w:val="pl-PL"/>
        </w:rPr>
        <w:t xml:space="preserve">ryzyko zagrażającej życiu lub </w:t>
      </w:r>
      <w:r w:rsidR="00AA77C4">
        <w:rPr>
          <w:rFonts w:eastAsiaTheme="minorHAnsi" w:cs="Calibri"/>
          <w:lang w:val="pl-PL"/>
        </w:rPr>
        <w:t>śmiertelnej</w:t>
      </w:r>
      <w:r w:rsidR="00247DC8" w:rsidRPr="00540B11">
        <w:rPr>
          <w:rFonts w:eastAsiaTheme="minorHAnsi" w:cs="Calibri"/>
          <w:lang w:val="pl-PL"/>
        </w:rPr>
        <w:t xml:space="preserve"> toksyczności</w:t>
      </w:r>
      <w:r>
        <w:rPr>
          <w:rFonts w:eastAsiaTheme="minorHAnsi" w:cs="Calibri"/>
          <w:lang w:val="pl-PL"/>
        </w:rPr>
        <w:t>. Pacjentów tych nie należy</w:t>
      </w:r>
      <w:r w:rsidR="00AA77C4">
        <w:rPr>
          <w:rFonts w:eastAsiaTheme="minorHAnsi" w:cs="Calibri"/>
          <w:lang w:val="pl-PL"/>
        </w:rPr>
        <w:t xml:space="preserve"> lecz</w:t>
      </w:r>
      <w:r>
        <w:rPr>
          <w:rFonts w:eastAsiaTheme="minorHAnsi" w:cs="Calibri"/>
          <w:lang w:val="pl-PL"/>
        </w:rPr>
        <w:t>yć</w:t>
      </w:r>
      <w:r w:rsidR="00247DC8" w:rsidRPr="00540B11">
        <w:rPr>
          <w:rFonts w:eastAsiaTheme="minorHAnsi" w:cs="Calibri"/>
          <w:lang w:val="pl-PL"/>
        </w:rPr>
        <w:t xml:space="preserve"> </w:t>
      </w:r>
      <w:proofErr w:type="spellStart"/>
      <w:r w:rsidR="00451B8F" w:rsidRPr="00540B11">
        <w:rPr>
          <w:rFonts w:eastAsiaTheme="minorHAnsi" w:cs="Calibri"/>
          <w:lang w:val="pl-PL"/>
        </w:rPr>
        <w:t>fluorop</w:t>
      </w:r>
      <w:r w:rsidR="00451B8F">
        <w:rPr>
          <w:rFonts w:eastAsiaTheme="minorHAnsi" w:cs="Calibri"/>
          <w:lang w:val="pl-PL"/>
        </w:rPr>
        <w:t>i</w:t>
      </w:r>
      <w:r w:rsidR="00451B8F" w:rsidRPr="00540B11">
        <w:rPr>
          <w:rFonts w:eastAsiaTheme="minorHAnsi" w:cs="Calibri"/>
          <w:lang w:val="pl-PL"/>
        </w:rPr>
        <w:t>rymidynami</w:t>
      </w:r>
      <w:proofErr w:type="spellEnd"/>
      <w:r w:rsidR="00247DC8" w:rsidRPr="00540B11">
        <w:rPr>
          <w:rFonts w:eastAsiaTheme="minorHAnsi" w:cs="Calibri"/>
          <w:lang w:val="pl-PL"/>
        </w:rPr>
        <w:t xml:space="preserve">. </w:t>
      </w:r>
    </w:p>
    <w:p w14:paraId="63B404FB" w14:textId="13C8CCA0" w:rsidR="00F34482" w:rsidRPr="00540B11" w:rsidRDefault="008426B7" w:rsidP="00495768">
      <w:pPr>
        <w:pStyle w:val="BodytextAgency"/>
        <w:numPr>
          <w:ilvl w:val="0"/>
          <w:numId w:val="17"/>
        </w:numPr>
        <w:spacing w:after="120"/>
        <w:rPr>
          <w:rFonts w:eastAsiaTheme="minorHAnsi" w:cs="Calibri"/>
          <w:lang w:val="pl-PL"/>
        </w:rPr>
      </w:pPr>
      <w:r>
        <w:rPr>
          <w:rFonts w:eastAsiaTheme="minorHAnsi" w:cs="Calibri"/>
          <w:lang w:val="pl-PL"/>
        </w:rPr>
        <w:t>U p</w:t>
      </w:r>
      <w:r w:rsidR="00247DC8" w:rsidRPr="00540B11">
        <w:rPr>
          <w:rFonts w:eastAsiaTheme="minorHAnsi" w:cs="Calibri"/>
          <w:lang w:val="pl-PL"/>
        </w:rPr>
        <w:t>acjen</w:t>
      </w:r>
      <w:r>
        <w:rPr>
          <w:rFonts w:eastAsiaTheme="minorHAnsi" w:cs="Calibri"/>
          <w:lang w:val="pl-PL"/>
        </w:rPr>
        <w:t>tów</w:t>
      </w:r>
      <w:r w:rsidR="00247DC8" w:rsidRPr="00540B11">
        <w:rPr>
          <w:rFonts w:eastAsiaTheme="minorHAnsi" w:cs="Calibri"/>
          <w:lang w:val="pl-PL"/>
        </w:rPr>
        <w:t xml:space="preserve"> z częściowym niedoborem DPD </w:t>
      </w:r>
      <w:r>
        <w:rPr>
          <w:rFonts w:eastAsiaTheme="minorHAnsi" w:cs="Calibri"/>
          <w:lang w:val="pl-PL"/>
        </w:rPr>
        <w:t>występuje</w:t>
      </w:r>
      <w:r w:rsidR="00247DC8" w:rsidRPr="00540B11">
        <w:rPr>
          <w:rFonts w:eastAsiaTheme="minorHAnsi" w:cs="Calibri"/>
          <w:lang w:val="pl-PL"/>
        </w:rPr>
        <w:t xml:space="preserve"> zwiększone ryzyko ciężkiej lub potencjalnie zagrażającej życiu toksyczności. Należy rozważyć zmniejszenie dawki początkowej, aby ograniczyć ryzyko ciężkiej toksyczności. W razie braku ciężkiej toksyczności kolejne dawki można zwiększyć, ponieważ nie ustalono skuteczności zmniejszonej dawki.</w:t>
      </w:r>
    </w:p>
    <w:p w14:paraId="0C2FF48B" w14:textId="77777777" w:rsidR="00F34482" w:rsidRPr="00540B11" w:rsidRDefault="00F34482" w:rsidP="00F34482">
      <w:pPr>
        <w:autoSpaceDE w:val="0"/>
        <w:autoSpaceDN w:val="0"/>
        <w:adjustRightInd w:val="0"/>
        <w:rPr>
          <w:rFonts w:eastAsiaTheme="minorHAnsi" w:cs="Calibri"/>
          <w:lang w:val="pl-PL"/>
        </w:rPr>
      </w:pPr>
    </w:p>
    <w:p w14:paraId="26C5266E" w14:textId="7D232490" w:rsidR="00F34482" w:rsidRDefault="00D808D0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lang w:val="pl-PL"/>
        </w:rPr>
      </w:pPr>
      <w:r w:rsidRPr="00540B11">
        <w:rPr>
          <w:rFonts w:eastAsia="Verdana"/>
          <w:b/>
          <w:i/>
          <w:sz w:val="22"/>
          <w:szCs w:val="22"/>
          <w:lang w:val="pl-PL"/>
        </w:rPr>
        <w:t>Badani</w:t>
      </w:r>
      <w:r>
        <w:rPr>
          <w:rFonts w:eastAsia="Verdana"/>
          <w:b/>
          <w:i/>
          <w:sz w:val="22"/>
          <w:szCs w:val="22"/>
          <w:lang w:val="pl-PL"/>
        </w:rPr>
        <w:t>e</w:t>
      </w:r>
      <w:r w:rsidRPr="00540B11">
        <w:rPr>
          <w:rFonts w:eastAsia="Verdana"/>
          <w:b/>
          <w:i/>
          <w:sz w:val="22"/>
          <w:szCs w:val="22"/>
          <w:lang w:val="pl-PL"/>
        </w:rPr>
        <w:t xml:space="preserve"> </w:t>
      </w:r>
      <w:r w:rsidR="00247DC8" w:rsidRPr="00540B11">
        <w:rPr>
          <w:rFonts w:eastAsia="Verdana"/>
          <w:b/>
          <w:i/>
          <w:sz w:val="22"/>
          <w:szCs w:val="22"/>
          <w:lang w:val="pl-PL"/>
        </w:rPr>
        <w:t>aktywności DPD przed</w:t>
      </w:r>
      <w:r>
        <w:rPr>
          <w:rFonts w:eastAsia="Verdana"/>
          <w:b/>
          <w:i/>
          <w:sz w:val="22"/>
          <w:szCs w:val="22"/>
          <w:lang w:val="pl-PL"/>
        </w:rPr>
        <w:t xml:space="preserve"> rozpoczęciem</w:t>
      </w:r>
      <w:r w:rsidR="00247DC8" w:rsidRPr="00540B11">
        <w:rPr>
          <w:rFonts w:eastAsia="Verdana"/>
          <w:b/>
          <w:i/>
          <w:sz w:val="22"/>
          <w:szCs w:val="22"/>
          <w:lang w:val="pl-PL"/>
        </w:rPr>
        <w:t xml:space="preserve"> </w:t>
      </w:r>
      <w:r w:rsidRPr="00540B11">
        <w:rPr>
          <w:rFonts w:eastAsia="Verdana"/>
          <w:b/>
          <w:i/>
          <w:sz w:val="22"/>
          <w:szCs w:val="22"/>
          <w:lang w:val="pl-PL"/>
        </w:rPr>
        <w:t>leczeni</w:t>
      </w:r>
      <w:r>
        <w:rPr>
          <w:rFonts w:eastAsia="Verdana"/>
          <w:b/>
          <w:i/>
          <w:sz w:val="22"/>
          <w:szCs w:val="22"/>
          <w:lang w:val="pl-PL"/>
        </w:rPr>
        <w:t>a</w:t>
      </w:r>
    </w:p>
    <w:p w14:paraId="483EB3C1" w14:textId="77777777" w:rsidR="006A3B9A" w:rsidRPr="00540B11" w:rsidRDefault="006A3B9A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lang w:val="pl-PL" w:eastAsia="en-GB"/>
        </w:rPr>
      </w:pPr>
    </w:p>
    <w:p w14:paraId="0F49DB9C" w14:textId="73B71599" w:rsidR="00AA77C4" w:rsidRDefault="00AA77C4" w:rsidP="00495768">
      <w:pPr>
        <w:autoSpaceDE w:val="0"/>
        <w:autoSpaceDN w:val="0"/>
        <w:adjustRightInd w:val="0"/>
        <w:spacing w:after="120" w:line="280" w:lineRule="atLeast"/>
        <w:rPr>
          <w:rFonts w:eastAsiaTheme="minorHAnsi" w:cs="Calibri"/>
          <w:lang w:val="pl-PL"/>
        </w:rPr>
      </w:pPr>
      <w:r w:rsidRPr="00AA77C4">
        <w:rPr>
          <w:rFonts w:eastAsiaTheme="minorHAnsi" w:cs="Calibri"/>
          <w:lang w:val="pl-PL"/>
        </w:rPr>
        <w:t>W celu zidentyfikowania pacjentów z</w:t>
      </w:r>
      <w:r w:rsidR="008426B7">
        <w:rPr>
          <w:rFonts w:eastAsiaTheme="minorHAnsi" w:cs="Calibri"/>
          <w:lang w:val="pl-PL"/>
        </w:rPr>
        <w:t>e zwiększonym</w:t>
      </w:r>
      <w:r w:rsidRPr="00AA77C4">
        <w:rPr>
          <w:rFonts w:eastAsiaTheme="minorHAnsi" w:cs="Calibri"/>
          <w:lang w:val="pl-PL"/>
        </w:rPr>
        <w:t xml:space="preserve"> ryzykiem ciężkiej toksyczności zaleca</w:t>
      </w:r>
      <w:r w:rsidR="00645963">
        <w:rPr>
          <w:rFonts w:eastAsiaTheme="minorHAnsi" w:cs="Calibri"/>
          <w:lang w:val="pl-PL"/>
        </w:rPr>
        <w:t xml:space="preserve"> się</w:t>
      </w:r>
      <w:r w:rsidRPr="00AA77C4">
        <w:rPr>
          <w:rFonts w:eastAsiaTheme="minorHAnsi" w:cs="Calibri"/>
          <w:lang w:val="pl-PL"/>
        </w:rPr>
        <w:t xml:space="preserve"> badanie niedoboru DPD przed rozpoczęciem leczenia, pomimo niepewności co do optymalnej metodologii badania.</w:t>
      </w:r>
    </w:p>
    <w:p w14:paraId="3D284D9E" w14:textId="0AF5EC98" w:rsidR="00AA77C4" w:rsidRDefault="00D808D0" w:rsidP="00495768">
      <w:pPr>
        <w:autoSpaceDE w:val="0"/>
        <w:autoSpaceDN w:val="0"/>
        <w:adjustRightInd w:val="0"/>
        <w:spacing w:after="120" w:line="280" w:lineRule="atLeast"/>
        <w:rPr>
          <w:rFonts w:eastAsiaTheme="minorHAnsi" w:cs="Calibri"/>
          <w:lang w:val="pl-PL"/>
        </w:rPr>
      </w:pPr>
      <w:r w:rsidRPr="00D808D0">
        <w:rPr>
          <w:rFonts w:eastAsiaTheme="minorHAnsi" w:cs="Calibri"/>
          <w:lang w:val="pl-PL"/>
        </w:rPr>
        <w:t>Dopuszczalnymi metodami są badanie genotypu genu kodującego DPD (DPYD)</w:t>
      </w:r>
      <w:r w:rsidR="00645963">
        <w:rPr>
          <w:rFonts w:eastAsiaTheme="minorHAnsi" w:cs="Calibri"/>
          <w:lang w:val="pl-PL"/>
        </w:rPr>
        <w:t>,</w:t>
      </w:r>
      <w:r w:rsidRPr="00D808D0">
        <w:rPr>
          <w:rFonts w:eastAsiaTheme="minorHAnsi" w:cs="Calibri"/>
          <w:lang w:val="pl-PL"/>
        </w:rPr>
        <w:t xml:space="preserve"> jak również badanie fenotypu poprzez pomiar stężenia uracylu we krwi.</w:t>
      </w:r>
    </w:p>
    <w:p w14:paraId="4EB6B22F" w14:textId="099E47AB" w:rsidR="00645963" w:rsidRPr="00495768" w:rsidRDefault="00645963" w:rsidP="00495768">
      <w:pPr>
        <w:autoSpaceDE w:val="0"/>
        <w:autoSpaceDN w:val="0"/>
        <w:adjustRightInd w:val="0"/>
        <w:spacing w:after="120" w:line="280" w:lineRule="atLeast"/>
        <w:ind w:right="59"/>
        <w:rPr>
          <w:rFonts w:cs="Calibri"/>
          <w:lang w:val="pl-PL"/>
        </w:rPr>
      </w:pPr>
      <w:r>
        <w:rPr>
          <w:rFonts w:cs="Calibri"/>
          <w:lang w:val="pl-PL"/>
        </w:rPr>
        <w:t xml:space="preserve">Należy wziąć pod uwagę wytyczne kliniczne dotyczące </w:t>
      </w:r>
      <w:proofErr w:type="spellStart"/>
      <w:r>
        <w:rPr>
          <w:rFonts w:cs="Calibri"/>
          <w:lang w:val="pl-PL"/>
        </w:rPr>
        <w:t>genotypowania</w:t>
      </w:r>
      <w:proofErr w:type="spellEnd"/>
      <w:r>
        <w:rPr>
          <w:rFonts w:cs="Calibri"/>
          <w:lang w:val="pl-PL"/>
        </w:rPr>
        <w:t xml:space="preserve"> lub </w:t>
      </w:r>
      <w:proofErr w:type="spellStart"/>
      <w:r>
        <w:rPr>
          <w:rFonts w:cs="Calibri"/>
          <w:lang w:val="pl-PL"/>
        </w:rPr>
        <w:t>fenotypowania</w:t>
      </w:r>
      <w:proofErr w:type="spellEnd"/>
      <w:r>
        <w:rPr>
          <w:rFonts w:cs="Calibri"/>
          <w:lang w:val="pl-PL"/>
        </w:rPr>
        <w:t xml:space="preserve"> DPD.</w:t>
      </w:r>
    </w:p>
    <w:p w14:paraId="0523028D" w14:textId="77777777" w:rsidR="00F34482" w:rsidRPr="00540B11" w:rsidRDefault="00F34482" w:rsidP="00F34482">
      <w:pPr>
        <w:autoSpaceDE w:val="0"/>
        <w:autoSpaceDN w:val="0"/>
        <w:adjustRightInd w:val="0"/>
        <w:rPr>
          <w:rFonts w:eastAsiaTheme="minorHAnsi" w:cs="Calibri"/>
          <w:lang w:val="pl-PL"/>
        </w:rPr>
      </w:pPr>
    </w:p>
    <w:p w14:paraId="2B259957" w14:textId="3C460274" w:rsidR="00F34482" w:rsidRPr="00540B11" w:rsidRDefault="00D808D0" w:rsidP="00F34482">
      <w:pPr>
        <w:autoSpaceDE w:val="0"/>
        <w:autoSpaceDN w:val="0"/>
        <w:adjustRightInd w:val="0"/>
        <w:rPr>
          <w:rFonts w:eastAsiaTheme="minorHAnsi" w:cs="Calibri"/>
          <w:i/>
          <w:lang w:val="pl-PL"/>
        </w:rPr>
      </w:pPr>
      <w:r>
        <w:rPr>
          <w:rFonts w:eastAsiaTheme="minorHAnsi" w:cs="Calibri"/>
          <w:i/>
          <w:lang w:val="pl-PL"/>
        </w:rPr>
        <w:t>Badanie genotypu</w:t>
      </w:r>
    </w:p>
    <w:p w14:paraId="5C786855" w14:textId="77777777" w:rsidR="00F34482" w:rsidRPr="00540B11" w:rsidRDefault="00247DC8" w:rsidP="00495768">
      <w:pPr>
        <w:autoSpaceDE w:val="0"/>
        <w:autoSpaceDN w:val="0"/>
        <w:adjustRightInd w:val="0"/>
        <w:spacing w:after="120" w:line="280" w:lineRule="atLeast"/>
        <w:rPr>
          <w:rFonts w:eastAsiaTheme="minorHAnsi" w:cs="Calibri"/>
          <w:lang w:val="pl-PL"/>
        </w:rPr>
      </w:pPr>
      <w:r w:rsidRPr="00540B11">
        <w:rPr>
          <w:rFonts w:eastAsiaTheme="minorHAnsi" w:cs="Calibri"/>
          <w:lang w:val="pl-PL"/>
        </w:rPr>
        <w:t>Cztery warianty genotypu DPYD (c.1905+1G&gt;A, c.1679T&gt;G, c.2846A&gt;T i c.1236G&gt;A/HapB3) są związane ze zwiększonym ryzykiem ciężkiej toksyczności. Inne rzadko występujące warianty genotypu DPYD również mogą wiązać się ze zwiększonym ryzykiem ciężkiej toksyczności.</w:t>
      </w:r>
    </w:p>
    <w:p w14:paraId="12477AE5" w14:textId="77777777" w:rsidR="00F34482" w:rsidRPr="00540B11" w:rsidRDefault="00F34482" w:rsidP="00F34482">
      <w:pPr>
        <w:autoSpaceDE w:val="0"/>
        <w:autoSpaceDN w:val="0"/>
        <w:adjustRightInd w:val="0"/>
        <w:rPr>
          <w:rFonts w:eastAsiaTheme="minorHAnsi" w:cs="Calibri"/>
          <w:lang w:val="pl-PL"/>
        </w:rPr>
      </w:pPr>
    </w:p>
    <w:p w14:paraId="5B4259E3" w14:textId="64D8FA2C" w:rsidR="00F34482" w:rsidRPr="00540B11" w:rsidRDefault="00D808D0" w:rsidP="00F34482">
      <w:pPr>
        <w:autoSpaceDE w:val="0"/>
        <w:autoSpaceDN w:val="0"/>
        <w:adjustRightInd w:val="0"/>
        <w:rPr>
          <w:rFonts w:eastAsiaTheme="minorHAnsi" w:cs="Calibri"/>
          <w:i/>
          <w:lang w:val="pl-PL"/>
        </w:rPr>
      </w:pPr>
      <w:r>
        <w:rPr>
          <w:rFonts w:eastAsiaTheme="minorHAnsi" w:cs="Calibri"/>
          <w:i/>
          <w:lang w:val="pl-PL"/>
        </w:rPr>
        <w:t>Badanie fenotypu</w:t>
      </w:r>
    </w:p>
    <w:p w14:paraId="1B7F4A3C" w14:textId="3E7427D3" w:rsidR="00F34482" w:rsidRPr="00540B11" w:rsidRDefault="00247DC8" w:rsidP="00495768">
      <w:pPr>
        <w:autoSpaceDE w:val="0"/>
        <w:autoSpaceDN w:val="0"/>
        <w:adjustRightInd w:val="0"/>
        <w:spacing w:after="120" w:line="280" w:lineRule="atLeast"/>
        <w:rPr>
          <w:rFonts w:eastAsiaTheme="minorHAnsi" w:cs="Calibri"/>
          <w:lang w:val="pl-PL"/>
        </w:rPr>
      </w:pPr>
      <w:r w:rsidRPr="00540B11">
        <w:rPr>
          <w:rFonts w:eastAsiaTheme="minorHAnsi" w:cs="Calibri"/>
          <w:lang w:val="pl-PL"/>
        </w:rPr>
        <w:t>Niedobór DPD wiąże się ze zwiększonym stężeniem uracylu w osoczu przed</w:t>
      </w:r>
      <w:r w:rsidR="00D808D0">
        <w:rPr>
          <w:rFonts w:eastAsiaTheme="minorHAnsi" w:cs="Calibri"/>
          <w:lang w:val="pl-PL"/>
        </w:rPr>
        <w:t xml:space="preserve"> rozpoczęciem</w:t>
      </w:r>
      <w:r w:rsidRPr="00540B11">
        <w:rPr>
          <w:rFonts w:eastAsiaTheme="minorHAnsi" w:cs="Calibri"/>
          <w:lang w:val="pl-PL"/>
        </w:rPr>
        <w:t xml:space="preserve"> leczeni</w:t>
      </w:r>
      <w:r w:rsidR="00D808D0">
        <w:rPr>
          <w:rFonts w:eastAsiaTheme="minorHAnsi" w:cs="Calibri"/>
          <w:lang w:val="pl-PL"/>
        </w:rPr>
        <w:t>a</w:t>
      </w:r>
      <w:r w:rsidRPr="00540B11">
        <w:rPr>
          <w:rFonts w:eastAsiaTheme="minorHAnsi" w:cs="Calibri"/>
          <w:lang w:val="pl-PL"/>
        </w:rPr>
        <w:t>. Stężenie uracylu we krwi ≥16 </w:t>
      </w:r>
      <w:proofErr w:type="spellStart"/>
      <w:r w:rsidRPr="00540B11">
        <w:rPr>
          <w:rFonts w:eastAsiaTheme="minorHAnsi" w:cs="Calibri"/>
          <w:lang w:val="pl-PL"/>
        </w:rPr>
        <w:t>ng</w:t>
      </w:r>
      <w:proofErr w:type="spellEnd"/>
      <w:r w:rsidRPr="00540B11">
        <w:rPr>
          <w:rFonts w:eastAsiaTheme="minorHAnsi" w:cs="Calibri"/>
          <w:lang w:val="pl-PL"/>
        </w:rPr>
        <w:t>/ml i &lt;150 </w:t>
      </w:r>
      <w:proofErr w:type="spellStart"/>
      <w:r w:rsidRPr="00540B11">
        <w:rPr>
          <w:rFonts w:eastAsiaTheme="minorHAnsi" w:cs="Calibri"/>
          <w:lang w:val="pl-PL"/>
        </w:rPr>
        <w:t>ng</w:t>
      </w:r>
      <w:proofErr w:type="spellEnd"/>
      <w:r w:rsidRPr="00540B11">
        <w:rPr>
          <w:rFonts w:eastAsiaTheme="minorHAnsi" w:cs="Calibri"/>
          <w:lang w:val="pl-PL"/>
        </w:rPr>
        <w:t>/ml wskazuje na częściowy niedobór DPD, natomiast stężenie uracylu we krwi ≥150 </w:t>
      </w:r>
      <w:proofErr w:type="spellStart"/>
      <w:r w:rsidRPr="00540B11">
        <w:rPr>
          <w:rFonts w:eastAsiaTheme="minorHAnsi" w:cs="Calibri"/>
          <w:lang w:val="pl-PL"/>
        </w:rPr>
        <w:t>ng</w:t>
      </w:r>
      <w:proofErr w:type="spellEnd"/>
      <w:r w:rsidRPr="00540B11">
        <w:rPr>
          <w:rFonts w:eastAsiaTheme="minorHAnsi" w:cs="Calibri"/>
          <w:lang w:val="pl-PL"/>
        </w:rPr>
        <w:t xml:space="preserve">/ml wskazuje na całkowity </w:t>
      </w:r>
      <w:r w:rsidR="00645963">
        <w:rPr>
          <w:rFonts w:eastAsiaTheme="minorHAnsi" w:cs="Calibri"/>
          <w:lang w:val="pl-PL"/>
        </w:rPr>
        <w:t>brak aktywności</w:t>
      </w:r>
      <w:r w:rsidR="00645963" w:rsidRPr="00540B11">
        <w:rPr>
          <w:rFonts w:eastAsiaTheme="minorHAnsi" w:cs="Calibri"/>
          <w:lang w:val="pl-PL"/>
        </w:rPr>
        <w:t xml:space="preserve"> </w:t>
      </w:r>
      <w:r w:rsidRPr="00540B11">
        <w:rPr>
          <w:rFonts w:eastAsiaTheme="minorHAnsi" w:cs="Calibri"/>
          <w:lang w:val="pl-PL"/>
        </w:rPr>
        <w:t>DPD.</w:t>
      </w:r>
    </w:p>
    <w:p w14:paraId="7D4FA16E" w14:textId="77777777" w:rsidR="00F34482" w:rsidRPr="00540B11" w:rsidRDefault="00F34482" w:rsidP="00F34482">
      <w:pPr>
        <w:autoSpaceDE w:val="0"/>
        <w:autoSpaceDN w:val="0"/>
        <w:adjustRightInd w:val="0"/>
        <w:rPr>
          <w:rFonts w:eastAsiaTheme="minorHAnsi" w:cs="Calibri"/>
          <w:lang w:val="pl-PL"/>
        </w:rPr>
      </w:pPr>
    </w:p>
    <w:p w14:paraId="72F0FDA8" w14:textId="59794419" w:rsidR="00F34482" w:rsidRPr="00540B11" w:rsidRDefault="00AA77C4" w:rsidP="00F34482">
      <w:pPr>
        <w:autoSpaceDE w:val="0"/>
        <w:autoSpaceDN w:val="0"/>
        <w:adjustRightInd w:val="0"/>
        <w:rPr>
          <w:rFonts w:eastAsiaTheme="minorHAnsi" w:cs="Calibri"/>
          <w:b/>
          <w:i/>
          <w:lang w:val="pl-PL"/>
        </w:rPr>
      </w:pPr>
      <w:bookmarkStart w:id="0" w:name="_Hlk34813116"/>
      <w:r>
        <w:rPr>
          <w:rFonts w:eastAsiaTheme="minorHAnsi" w:cs="Calibri"/>
          <w:b/>
          <w:i/>
          <w:iCs/>
          <w:lang w:val="pl-PL"/>
        </w:rPr>
        <w:t>Terapeutyczne m</w:t>
      </w:r>
      <w:r w:rsidR="00247DC8" w:rsidRPr="00540B11">
        <w:rPr>
          <w:rFonts w:eastAsiaTheme="minorHAnsi" w:cs="Calibri"/>
          <w:b/>
          <w:i/>
          <w:iCs/>
          <w:lang w:val="pl-PL"/>
        </w:rPr>
        <w:t xml:space="preserve">onitorowanie </w:t>
      </w:r>
      <w:r w:rsidRPr="00540B11">
        <w:rPr>
          <w:rFonts w:eastAsiaTheme="minorHAnsi" w:cs="Calibri"/>
          <w:b/>
          <w:i/>
          <w:iCs/>
          <w:lang w:val="pl-PL"/>
        </w:rPr>
        <w:t>stęże</w:t>
      </w:r>
      <w:r>
        <w:rPr>
          <w:rFonts w:eastAsiaTheme="minorHAnsi" w:cs="Calibri"/>
          <w:b/>
          <w:i/>
          <w:iCs/>
          <w:lang w:val="pl-PL"/>
        </w:rPr>
        <w:t>nia</w:t>
      </w:r>
      <w:r w:rsidRPr="00540B11">
        <w:rPr>
          <w:rFonts w:eastAsiaTheme="minorHAnsi" w:cs="Calibri"/>
          <w:b/>
          <w:i/>
          <w:iCs/>
          <w:lang w:val="pl-PL"/>
        </w:rPr>
        <w:t xml:space="preserve"> </w:t>
      </w:r>
      <w:r w:rsidR="00247DC8" w:rsidRPr="00540B11">
        <w:rPr>
          <w:rFonts w:eastAsiaTheme="minorHAnsi" w:cs="Calibri"/>
          <w:b/>
          <w:i/>
          <w:iCs/>
          <w:lang w:val="pl-PL"/>
        </w:rPr>
        <w:t xml:space="preserve">leku </w:t>
      </w:r>
      <w:bookmarkEnd w:id="0"/>
      <w:r>
        <w:rPr>
          <w:rFonts w:eastAsiaTheme="minorHAnsi" w:cs="Calibri"/>
          <w:b/>
          <w:i/>
          <w:iCs/>
          <w:lang w:val="pl-PL"/>
        </w:rPr>
        <w:t xml:space="preserve">we krwi (ang. </w:t>
      </w:r>
      <w:proofErr w:type="spellStart"/>
      <w:r>
        <w:rPr>
          <w:rFonts w:eastAsiaTheme="minorHAnsi" w:cs="Calibri"/>
          <w:b/>
          <w:i/>
          <w:iCs/>
          <w:lang w:val="pl-PL"/>
        </w:rPr>
        <w:t>Therapeutic</w:t>
      </w:r>
      <w:proofErr w:type="spellEnd"/>
      <w:r>
        <w:rPr>
          <w:rFonts w:eastAsiaTheme="minorHAnsi" w:cs="Calibri"/>
          <w:b/>
          <w:i/>
          <w:iCs/>
          <w:lang w:val="pl-PL"/>
        </w:rPr>
        <w:t xml:space="preserve"> </w:t>
      </w:r>
      <w:proofErr w:type="spellStart"/>
      <w:r>
        <w:rPr>
          <w:rFonts w:eastAsiaTheme="minorHAnsi" w:cs="Calibri"/>
          <w:b/>
          <w:i/>
          <w:iCs/>
          <w:lang w:val="pl-PL"/>
        </w:rPr>
        <w:t>Drug</w:t>
      </w:r>
      <w:proofErr w:type="spellEnd"/>
      <w:r>
        <w:rPr>
          <w:rFonts w:eastAsiaTheme="minorHAnsi" w:cs="Calibri"/>
          <w:b/>
          <w:i/>
          <w:iCs/>
          <w:lang w:val="pl-PL"/>
        </w:rPr>
        <w:t xml:space="preserve"> Monitoring – TDP) u pacjentów leczonych 5-fluorouracylem podawanym dożylnie</w:t>
      </w:r>
    </w:p>
    <w:p w14:paraId="22400A3F" w14:textId="25E4BEDB" w:rsidR="00F34482" w:rsidRPr="00540B11" w:rsidRDefault="00645963" w:rsidP="00495768">
      <w:pPr>
        <w:autoSpaceDE w:val="0"/>
        <w:autoSpaceDN w:val="0"/>
        <w:adjustRightInd w:val="0"/>
        <w:spacing w:after="120" w:line="280" w:lineRule="atLeast"/>
        <w:rPr>
          <w:rFonts w:eastAsiaTheme="minorHAnsi" w:cs="Calibri"/>
          <w:lang w:val="pl-PL"/>
        </w:rPr>
      </w:pPr>
      <w:r>
        <w:rPr>
          <w:rFonts w:cs="Calibri"/>
          <w:lang w:val="pl-PL"/>
        </w:rPr>
        <w:t xml:space="preserve">Jako uzupełnienie początkowych badań aktywności </w:t>
      </w:r>
      <w:r w:rsidR="00247DC8" w:rsidRPr="00540B11">
        <w:rPr>
          <w:rFonts w:eastAsiaTheme="minorHAnsi" w:cs="Calibri"/>
          <w:lang w:val="pl-PL"/>
        </w:rPr>
        <w:t xml:space="preserve">DPD, monitorowanie terapeutycznych stężeń </w:t>
      </w:r>
      <w:proofErr w:type="spellStart"/>
      <w:r w:rsidR="00247DC8" w:rsidRPr="00540B11">
        <w:rPr>
          <w:rFonts w:eastAsiaTheme="minorHAnsi" w:cs="Calibri"/>
          <w:lang w:val="pl-PL"/>
        </w:rPr>
        <w:t>fluorouracylu</w:t>
      </w:r>
      <w:proofErr w:type="spellEnd"/>
      <w:r w:rsidR="00247DC8" w:rsidRPr="00540B11">
        <w:rPr>
          <w:rFonts w:eastAsiaTheme="minorHAnsi" w:cs="Calibri"/>
          <w:lang w:val="pl-PL"/>
        </w:rPr>
        <w:t xml:space="preserve"> może prowadzić do lepszych wyników klinicznych u pacjentów leczonych 5</w:t>
      </w:r>
      <w:r w:rsidR="00247DC8" w:rsidRPr="00540B11">
        <w:rPr>
          <w:rFonts w:eastAsiaTheme="minorHAnsi" w:cs="Calibri"/>
          <w:lang w:val="pl-PL"/>
        </w:rPr>
        <w:noBreakHyphen/>
        <w:t>FU</w:t>
      </w:r>
      <w:r>
        <w:rPr>
          <w:rFonts w:eastAsiaTheme="minorHAnsi" w:cs="Calibri"/>
          <w:lang w:val="pl-PL"/>
        </w:rPr>
        <w:t xml:space="preserve"> </w:t>
      </w:r>
      <w:r>
        <w:rPr>
          <w:rFonts w:cs="Calibri"/>
          <w:lang w:val="pl-PL"/>
        </w:rPr>
        <w:t>podawanym w ciągłej infuzji</w:t>
      </w:r>
      <w:r w:rsidR="00247DC8" w:rsidRPr="00540B11">
        <w:rPr>
          <w:rFonts w:eastAsiaTheme="minorHAnsi" w:cs="Calibri"/>
          <w:lang w:val="pl-PL"/>
        </w:rPr>
        <w:t>. Docelow</w:t>
      </w:r>
      <w:r w:rsidR="00D808D0">
        <w:rPr>
          <w:rFonts w:eastAsiaTheme="minorHAnsi" w:cs="Calibri"/>
          <w:lang w:val="pl-PL"/>
        </w:rPr>
        <w:t>a</w:t>
      </w:r>
      <w:r w:rsidR="00247DC8" w:rsidRPr="00540B11">
        <w:rPr>
          <w:rFonts w:eastAsiaTheme="minorHAnsi" w:cs="Calibri"/>
          <w:lang w:val="pl-PL"/>
        </w:rPr>
        <w:t xml:space="preserve"> </w:t>
      </w:r>
      <w:r w:rsidR="00D808D0">
        <w:rPr>
          <w:rFonts w:eastAsiaTheme="minorHAnsi" w:cs="Calibri"/>
          <w:lang w:val="pl-PL"/>
        </w:rPr>
        <w:t xml:space="preserve">wartość </w:t>
      </w:r>
      <w:r w:rsidR="00247DC8" w:rsidRPr="00540B11">
        <w:rPr>
          <w:rFonts w:eastAsiaTheme="minorHAnsi" w:cs="Calibri"/>
          <w:lang w:val="pl-PL"/>
        </w:rPr>
        <w:t xml:space="preserve">AUC </w:t>
      </w:r>
      <w:r w:rsidR="00D808D0" w:rsidRPr="00540B11">
        <w:rPr>
          <w:rFonts w:eastAsiaTheme="minorHAnsi" w:cs="Calibri"/>
          <w:lang w:val="pl-PL"/>
        </w:rPr>
        <w:t>powinn</w:t>
      </w:r>
      <w:r w:rsidR="00D808D0">
        <w:rPr>
          <w:rFonts w:eastAsiaTheme="minorHAnsi" w:cs="Calibri"/>
          <w:lang w:val="pl-PL"/>
        </w:rPr>
        <w:t>a</w:t>
      </w:r>
      <w:r w:rsidR="00D808D0" w:rsidRPr="00540B11">
        <w:rPr>
          <w:rFonts w:eastAsiaTheme="minorHAnsi" w:cs="Calibri"/>
          <w:lang w:val="pl-PL"/>
        </w:rPr>
        <w:t xml:space="preserve"> </w:t>
      </w:r>
      <w:r w:rsidR="00247DC8" w:rsidRPr="00540B11">
        <w:rPr>
          <w:rFonts w:eastAsiaTheme="minorHAnsi" w:cs="Calibri"/>
          <w:lang w:val="pl-PL"/>
        </w:rPr>
        <w:t>wynosić od 20 do 30 mg x </w:t>
      </w:r>
      <w:r>
        <w:rPr>
          <w:rFonts w:eastAsiaTheme="minorHAnsi" w:cs="Calibri"/>
          <w:lang w:val="pl-PL"/>
        </w:rPr>
        <w:t>godz.</w:t>
      </w:r>
      <w:r w:rsidR="00247DC8" w:rsidRPr="00540B11">
        <w:rPr>
          <w:rFonts w:eastAsiaTheme="minorHAnsi" w:cs="Calibri"/>
          <w:lang w:val="pl-PL"/>
        </w:rPr>
        <w:t xml:space="preserve">/l. </w:t>
      </w:r>
    </w:p>
    <w:p w14:paraId="14D4D439" w14:textId="77777777" w:rsidR="00F34482" w:rsidRPr="00540B11" w:rsidRDefault="00F34482" w:rsidP="00F34482">
      <w:pPr>
        <w:autoSpaceDE w:val="0"/>
        <w:autoSpaceDN w:val="0"/>
        <w:adjustRightInd w:val="0"/>
        <w:rPr>
          <w:rFonts w:eastAsiaTheme="minorHAnsi" w:cs="Calibri"/>
          <w:b/>
          <w:bCs/>
          <w:lang w:val="pl-PL"/>
        </w:rPr>
      </w:pPr>
    </w:p>
    <w:p w14:paraId="43DE4ED9" w14:textId="24D70E7C" w:rsidR="00F34482" w:rsidRDefault="00C112C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  <w:bookmarkStart w:id="1" w:name="_Hlk34397427"/>
      <w:r>
        <w:rPr>
          <w:rFonts w:eastAsia="Verdana"/>
          <w:b/>
          <w:i/>
          <w:sz w:val="22"/>
          <w:szCs w:val="22"/>
          <w:u w:val="single"/>
          <w:lang w:val="pl-PL"/>
        </w:rPr>
        <w:t>Z</w:t>
      </w:r>
      <w:r w:rsidR="00247DC8" w:rsidRPr="00540B11">
        <w:rPr>
          <w:rFonts w:eastAsia="Verdana"/>
          <w:b/>
          <w:i/>
          <w:sz w:val="22"/>
          <w:szCs w:val="22"/>
          <w:u w:val="single"/>
          <w:lang w:val="pl-PL"/>
        </w:rPr>
        <w:t>głaszani</w:t>
      </w:r>
      <w:r>
        <w:rPr>
          <w:rFonts w:eastAsia="Verdana"/>
          <w:b/>
          <w:i/>
          <w:sz w:val="22"/>
          <w:szCs w:val="22"/>
          <w:u w:val="single"/>
          <w:lang w:val="pl-PL"/>
        </w:rPr>
        <w:t>e działań niepożądanych</w:t>
      </w:r>
      <w:bookmarkEnd w:id="1"/>
      <w:r w:rsidR="00247DC8" w:rsidRPr="00540B11">
        <w:rPr>
          <w:rFonts w:eastAsia="Verdana"/>
          <w:b/>
          <w:i/>
          <w:sz w:val="22"/>
          <w:szCs w:val="22"/>
          <w:u w:val="single"/>
          <w:lang w:val="pl-PL"/>
        </w:rPr>
        <w:t xml:space="preserve"> </w:t>
      </w:r>
    </w:p>
    <w:p w14:paraId="69538003" w14:textId="77777777" w:rsidR="006A3B9A" w:rsidRPr="00540B11" w:rsidRDefault="006A3B9A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 w:eastAsia="en-GB"/>
        </w:rPr>
      </w:pPr>
    </w:p>
    <w:p w14:paraId="5708CD68" w14:textId="14A8FC9A" w:rsidR="00A22DD5" w:rsidRDefault="00A22DD5" w:rsidP="00A22DD5">
      <w:pPr>
        <w:spacing w:line="307" w:lineRule="auto"/>
        <w:ind w:right="227"/>
        <w:rPr>
          <w:rFonts w:cstheme="minorHAnsi"/>
          <w:bCs/>
          <w:lang w:val="pl-PL"/>
        </w:rPr>
      </w:pPr>
      <w:r w:rsidRPr="00E4651F">
        <w:rPr>
          <w:rFonts w:cstheme="minorHAnsi"/>
          <w:lang w:val="pl-PL"/>
        </w:rPr>
        <w:t>Osoby należące do fachowego personelu medycznego powinny zgłaszać wszelkie podejrzewane działania niepożądane związane ze stosowaniem produktów leczniczych</w:t>
      </w:r>
      <w:r>
        <w:rPr>
          <w:rFonts w:cstheme="minorHAnsi"/>
          <w:lang w:val="pl-PL"/>
        </w:rPr>
        <w:t xml:space="preserve"> </w:t>
      </w:r>
      <w:r w:rsidRPr="00540B11">
        <w:rPr>
          <w:rFonts w:eastAsiaTheme="minorHAnsi" w:cs="Calibri"/>
          <w:lang w:val="pl-PL"/>
        </w:rPr>
        <w:t xml:space="preserve">zawierającymi </w:t>
      </w:r>
      <w:proofErr w:type="spellStart"/>
      <w:r w:rsidRPr="00540B11">
        <w:rPr>
          <w:rFonts w:eastAsiaTheme="minorHAnsi" w:cs="Calibri"/>
          <w:lang w:val="pl-PL"/>
        </w:rPr>
        <w:t>kapecytabinę</w:t>
      </w:r>
      <w:proofErr w:type="spellEnd"/>
      <w:r w:rsidRPr="00540B11">
        <w:rPr>
          <w:rFonts w:eastAsiaTheme="minorHAnsi" w:cs="Calibri"/>
          <w:lang w:val="pl-PL"/>
        </w:rPr>
        <w:t>, 5</w:t>
      </w:r>
      <w:r w:rsidRPr="00540B11">
        <w:rPr>
          <w:rFonts w:eastAsiaTheme="minorHAnsi" w:cs="Calibri"/>
          <w:lang w:val="pl-PL"/>
        </w:rPr>
        <w:noBreakHyphen/>
        <w:t xml:space="preserve">fluorouracyl lub </w:t>
      </w:r>
      <w:proofErr w:type="spellStart"/>
      <w:r w:rsidRPr="00540B11">
        <w:rPr>
          <w:rFonts w:eastAsiaTheme="minorHAnsi" w:cs="Calibri"/>
          <w:lang w:val="pl-PL"/>
        </w:rPr>
        <w:t>tegafur</w:t>
      </w:r>
      <w:proofErr w:type="spellEnd"/>
      <w:r w:rsidRPr="00E4651F">
        <w:rPr>
          <w:rFonts w:cstheme="minorHAnsi"/>
          <w:lang w:val="pl-PL"/>
        </w:rPr>
        <w:t xml:space="preserve">, zgodnie z zasadami zgłaszania działań niepożądanych za pośrednictwem </w:t>
      </w:r>
      <w:r w:rsidRPr="00E4651F">
        <w:rPr>
          <w:rFonts w:cstheme="minorHAnsi"/>
          <w:lang w:val="pl-PL"/>
        </w:rPr>
        <w:lastRenderedPageBreak/>
        <w:t>Departamentu Monitorowania Niepożądanych Działań Produktów Leczniczych Urzędu Rejestracji Produktów Leczniczych, Wyrobów Medycznych i Biobójczych:</w:t>
      </w:r>
      <w:r w:rsidRPr="00E4651F">
        <w:rPr>
          <w:rFonts w:cstheme="minorHAnsi"/>
          <w:bCs/>
          <w:lang w:val="pl-PL"/>
        </w:rPr>
        <w:t xml:space="preserve"> </w:t>
      </w:r>
    </w:p>
    <w:p w14:paraId="07BCFF07" w14:textId="77777777" w:rsidR="00A22DD5" w:rsidRPr="005A1916" w:rsidRDefault="00A22DD5" w:rsidP="00A22DD5">
      <w:pPr>
        <w:spacing w:line="307" w:lineRule="auto"/>
        <w:ind w:right="227"/>
        <w:rPr>
          <w:i/>
          <w:lang w:val="pl-PL"/>
        </w:rPr>
      </w:pPr>
      <w:r w:rsidRPr="005A1916">
        <w:rPr>
          <w:i/>
          <w:lang w:val="pl-PL"/>
        </w:rPr>
        <w:t xml:space="preserve">Al. Jerozolimskie </w:t>
      </w:r>
      <w:smartTag w:uri="urn:schemas-microsoft-com:office:smarttags" w:element="metricconverter">
        <w:smartTagPr>
          <w:attr w:name="ProductID" w:val="181C"/>
        </w:smartTagPr>
        <w:r w:rsidRPr="005A1916">
          <w:rPr>
            <w:i/>
            <w:lang w:val="pl-PL"/>
          </w:rPr>
          <w:t>181C</w:t>
        </w:r>
      </w:smartTag>
    </w:p>
    <w:p w14:paraId="789066C3" w14:textId="77777777" w:rsidR="00A22DD5" w:rsidRPr="005A1916" w:rsidRDefault="00A22DD5" w:rsidP="00A22DD5">
      <w:pPr>
        <w:spacing w:line="307" w:lineRule="auto"/>
        <w:ind w:right="227"/>
        <w:rPr>
          <w:i/>
          <w:lang w:val="pl-PL"/>
        </w:rPr>
      </w:pPr>
      <w:r w:rsidRPr="005A1916">
        <w:rPr>
          <w:i/>
          <w:lang w:val="pl-PL"/>
        </w:rPr>
        <w:t>02-222 Warszawa</w:t>
      </w:r>
    </w:p>
    <w:p w14:paraId="56C34205" w14:textId="77777777" w:rsidR="00A22DD5" w:rsidRPr="005A1916" w:rsidRDefault="00A22DD5" w:rsidP="00A22DD5">
      <w:pPr>
        <w:spacing w:line="307" w:lineRule="auto"/>
        <w:ind w:right="227"/>
        <w:rPr>
          <w:i/>
          <w:lang w:val="pl-PL"/>
        </w:rPr>
      </w:pPr>
      <w:r w:rsidRPr="005A1916">
        <w:rPr>
          <w:i/>
          <w:lang w:val="pl-PL"/>
        </w:rPr>
        <w:t>Tel. +48 22 49 21 301 faks: +48 22 49 21 309</w:t>
      </w:r>
    </w:p>
    <w:p w14:paraId="1BC8AB56" w14:textId="140CE3FF" w:rsidR="00A22DD5" w:rsidRPr="005A1916" w:rsidRDefault="00A22DD5" w:rsidP="00A22DD5">
      <w:pPr>
        <w:spacing w:line="307" w:lineRule="auto"/>
        <w:ind w:right="227"/>
        <w:rPr>
          <w:i/>
          <w:lang w:val="pl-PL"/>
        </w:rPr>
      </w:pPr>
      <w:r w:rsidRPr="005A1916">
        <w:rPr>
          <w:bCs/>
          <w:lang w:val="pl-PL" w:eastAsia="zh-CN"/>
        </w:rPr>
        <w:t xml:space="preserve">Strona internetowa: </w:t>
      </w:r>
      <w:r w:rsidRPr="00434A52">
        <w:rPr>
          <w:lang w:val="pl-PL"/>
        </w:rPr>
        <w:t>https://s</w:t>
      </w:r>
      <w:r w:rsidRPr="00A22DD5">
        <w:rPr>
          <w:bCs/>
          <w:lang w:val="pl-PL" w:eastAsia="zh-CN"/>
        </w:rPr>
        <w:t>mz.ezdrowie.gov.pl</w:t>
      </w:r>
      <w:r w:rsidRPr="005A1916">
        <w:rPr>
          <w:i/>
          <w:lang w:val="pl-PL"/>
        </w:rPr>
        <w:t xml:space="preserve"> </w:t>
      </w:r>
    </w:p>
    <w:p w14:paraId="7C61BCD5" w14:textId="77777777" w:rsidR="00A22DD5" w:rsidRPr="005A1916" w:rsidRDefault="00A22DD5" w:rsidP="00A22DD5">
      <w:pPr>
        <w:spacing w:line="307" w:lineRule="auto"/>
        <w:ind w:right="227"/>
        <w:rPr>
          <w:lang w:val="pl-PL"/>
        </w:rPr>
      </w:pPr>
    </w:p>
    <w:p w14:paraId="3A0A2B54" w14:textId="65D57FEC" w:rsidR="00A22DD5" w:rsidRPr="00E4651F" w:rsidRDefault="00A22DD5" w:rsidP="00434A52">
      <w:pPr>
        <w:spacing w:line="307" w:lineRule="auto"/>
        <w:ind w:right="227"/>
        <w:rPr>
          <w:rFonts w:cstheme="minorHAnsi"/>
          <w:lang w:val="pl-PL"/>
        </w:rPr>
      </w:pPr>
      <w:r w:rsidRPr="005A1916">
        <w:rPr>
          <w:lang w:val="pl-PL"/>
        </w:rPr>
        <w:t xml:space="preserve">Formularz zgłoszenia działania niepożądanego dostępny jest również na stronie: </w:t>
      </w:r>
      <w:hyperlink w:history="1">
        <w:r w:rsidRPr="005A1916">
          <w:rPr>
            <w:rStyle w:val="Hipercze"/>
            <w:lang w:val="pl-PL"/>
          </w:rPr>
          <w:t>www.urpl.gov.pl</w:t>
        </w:r>
      </w:hyperlink>
      <w:r w:rsidRPr="005A1916">
        <w:rPr>
          <w:lang w:val="pl-PL"/>
        </w:rPr>
        <w:t xml:space="preserve"> </w:t>
      </w:r>
      <w:r w:rsidRPr="00E4651F">
        <w:rPr>
          <w:rFonts w:cstheme="minorHAnsi"/>
          <w:lang w:val="pl-PL"/>
        </w:rPr>
        <w:t>lub bezpośrednio do podmiotów odpowiedzialnych wymienionych w Załączniku.</w:t>
      </w:r>
    </w:p>
    <w:p w14:paraId="4EC01E4C" w14:textId="77777777" w:rsidR="00F34482" w:rsidRPr="00540B11" w:rsidRDefault="00F34482" w:rsidP="00F34482">
      <w:pPr>
        <w:autoSpaceDE w:val="0"/>
        <w:autoSpaceDN w:val="0"/>
        <w:adjustRightInd w:val="0"/>
        <w:rPr>
          <w:rFonts w:eastAsiaTheme="minorHAnsi" w:cs="Calibri"/>
          <w:lang w:val="pl-PL"/>
        </w:rPr>
      </w:pPr>
    </w:p>
    <w:p w14:paraId="54D363DA" w14:textId="1E06B12E" w:rsidR="00026ED9" w:rsidRDefault="00104B3A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  <w:bookmarkStart w:id="2" w:name="_Hlk34397475"/>
      <w:r>
        <w:rPr>
          <w:rFonts w:eastAsia="Verdana"/>
          <w:b/>
          <w:i/>
          <w:sz w:val="22"/>
          <w:szCs w:val="22"/>
          <w:u w:val="single"/>
          <w:lang w:val="pl-PL"/>
        </w:rPr>
        <w:t>D</w:t>
      </w:r>
      <w:r w:rsidR="00026ED9">
        <w:rPr>
          <w:rFonts w:eastAsia="Verdana"/>
          <w:b/>
          <w:i/>
          <w:sz w:val="22"/>
          <w:szCs w:val="22"/>
          <w:u w:val="single"/>
          <w:lang w:val="pl-PL"/>
        </w:rPr>
        <w:t>ane</w:t>
      </w:r>
      <w:r w:rsidRPr="00540B11">
        <w:rPr>
          <w:rFonts w:eastAsia="Verdana"/>
          <w:b/>
          <w:i/>
          <w:sz w:val="22"/>
          <w:szCs w:val="22"/>
          <w:u w:val="single"/>
          <w:lang w:val="pl-PL"/>
        </w:rPr>
        <w:t xml:space="preserve"> </w:t>
      </w:r>
      <w:r w:rsidR="00247DC8" w:rsidRPr="00540B11">
        <w:rPr>
          <w:rFonts w:eastAsia="Verdana"/>
          <w:b/>
          <w:i/>
          <w:sz w:val="22"/>
          <w:szCs w:val="22"/>
          <w:u w:val="single"/>
          <w:lang w:val="pl-PL"/>
        </w:rPr>
        <w:t>kontaktow</w:t>
      </w:r>
      <w:r w:rsidR="00026ED9">
        <w:rPr>
          <w:rFonts w:eastAsia="Verdana"/>
          <w:b/>
          <w:i/>
          <w:sz w:val="22"/>
          <w:szCs w:val="22"/>
          <w:u w:val="single"/>
          <w:lang w:val="pl-PL"/>
        </w:rPr>
        <w:t>e</w:t>
      </w:r>
      <w:r w:rsidR="00247DC8" w:rsidRPr="00540B11">
        <w:rPr>
          <w:rFonts w:eastAsia="Verdana"/>
          <w:b/>
          <w:i/>
          <w:sz w:val="22"/>
          <w:szCs w:val="22"/>
          <w:u w:val="single"/>
          <w:lang w:val="pl-PL"/>
        </w:rPr>
        <w:t xml:space="preserve"> </w:t>
      </w:r>
      <w:r w:rsidR="00026ED9">
        <w:rPr>
          <w:rFonts w:eastAsia="Verdana"/>
          <w:b/>
          <w:i/>
          <w:sz w:val="22"/>
          <w:szCs w:val="22"/>
          <w:u w:val="single"/>
          <w:lang w:val="pl-PL"/>
        </w:rPr>
        <w:t>podmiotu odpowiedzialnego:</w:t>
      </w:r>
    </w:p>
    <w:p w14:paraId="5F047209" w14:textId="77777777" w:rsidR="006A3B9A" w:rsidRDefault="006A3B9A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74AF3DE9" w14:textId="77777777" w:rsidR="00D20396" w:rsidRPr="00434A52" w:rsidRDefault="00D20396" w:rsidP="00D20396">
      <w:pPr>
        <w:pStyle w:val="Tekstprzypisudolnego"/>
        <w:rPr>
          <w:rFonts w:ascii="Verdana" w:hAnsi="Verdana"/>
          <w:sz w:val="18"/>
          <w:szCs w:val="22"/>
          <w:lang w:val="pl-PL"/>
        </w:rPr>
      </w:pPr>
      <w:r w:rsidRPr="00434A52">
        <w:rPr>
          <w:rFonts w:ascii="Verdana" w:hAnsi="Verdana"/>
          <w:sz w:val="18"/>
          <w:szCs w:val="22"/>
          <w:lang w:val="pl-PL"/>
        </w:rPr>
        <w:t>Podejrzenie wystąpienia działań niepożądanych można również zgłaszać przedstawicielowi podmiotu odpowiedzialnego, korzystając z poniższych danych. W przypadku dalszych pytań lub potrzeby uzyskania dodatkowych informacji prosimy o kontakt.</w:t>
      </w:r>
    </w:p>
    <w:p w14:paraId="3B5730C9" w14:textId="39539614" w:rsidR="00F34482" w:rsidRPr="00540B11" w:rsidRDefault="00F34482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 w:eastAsia="en-GB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4961"/>
      </w:tblGrid>
      <w:tr w:rsidR="00C47086" w:rsidRPr="00403269" w14:paraId="507429BA" w14:textId="77777777" w:rsidTr="00434A52">
        <w:trPr>
          <w:trHeight w:val="699"/>
        </w:trPr>
        <w:tc>
          <w:tcPr>
            <w:tcW w:w="2410" w:type="dxa"/>
          </w:tcPr>
          <w:p w14:paraId="0D9E9771" w14:textId="77777777" w:rsidR="00C47086" w:rsidRPr="00495768" w:rsidRDefault="00C47086" w:rsidP="00146E87">
            <w:pPr>
              <w:widowControl w:val="0"/>
              <w:rPr>
                <w:rFonts w:cs="Calibri"/>
                <w:b/>
              </w:rPr>
            </w:pPr>
            <w:bookmarkStart w:id="3" w:name="_Hlk34397504"/>
            <w:bookmarkEnd w:id="2"/>
            <w:proofErr w:type="spellStart"/>
            <w:r w:rsidRPr="00495768">
              <w:rPr>
                <w:rFonts w:cs="Calibri"/>
                <w:b/>
              </w:rPr>
              <w:t>Nazwa</w:t>
            </w:r>
            <w:proofErr w:type="spellEnd"/>
            <w:r w:rsidRPr="00495768">
              <w:rPr>
                <w:rFonts w:cs="Calibri"/>
                <w:b/>
              </w:rPr>
              <w:t xml:space="preserve"> </w:t>
            </w:r>
            <w:proofErr w:type="spellStart"/>
            <w:r w:rsidRPr="00495768">
              <w:rPr>
                <w:rFonts w:cs="Calibri"/>
                <w:b/>
              </w:rPr>
              <w:t>produktu</w:t>
            </w:r>
            <w:proofErr w:type="spellEnd"/>
            <w:r w:rsidRPr="00495768">
              <w:rPr>
                <w:rFonts w:cs="Calibri"/>
                <w:b/>
              </w:rPr>
              <w:t xml:space="preserve"> </w:t>
            </w:r>
            <w:proofErr w:type="spellStart"/>
            <w:r w:rsidRPr="00495768">
              <w:rPr>
                <w:rFonts w:cs="Calibri"/>
                <w:b/>
              </w:rPr>
              <w:t>leczniczego</w:t>
            </w:r>
            <w:proofErr w:type="spellEnd"/>
          </w:p>
        </w:tc>
        <w:tc>
          <w:tcPr>
            <w:tcW w:w="2410" w:type="dxa"/>
          </w:tcPr>
          <w:p w14:paraId="18249030" w14:textId="77777777" w:rsidR="00C47086" w:rsidRPr="00495768" w:rsidRDefault="00C47086" w:rsidP="00146E87">
            <w:pPr>
              <w:widowControl w:val="0"/>
              <w:rPr>
                <w:rFonts w:cs="Calibri"/>
                <w:b/>
              </w:rPr>
            </w:pPr>
            <w:proofErr w:type="spellStart"/>
            <w:r w:rsidRPr="00495768">
              <w:rPr>
                <w:rFonts w:cs="Calibri"/>
                <w:b/>
              </w:rPr>
              <w:t>Podmiot</w:t>
            </w:r>
            <w:proofErr w:type="spellEnd"/>
            <w:r w:rsidRPr="00495768">
              <w:rPr>
                <w:rFonts w:cs="Calibri"/>
                <w:b/>
              </w:rPr>
              <w:t xml:space="preserve"> </w:t>
            </w:r>
            <w:proofErr w:type="spellStart"/>
            <w:r w:rsidRPr="00495768">
              <w:rPr>
                <w:rFonts w:cs="Calibri"/>
                <w:b/>
              </w:rPr>
              <w:t>odpowiedzialny</w:t>
            </w:r>
            <w:proofErr w:type="spellEnd"/>
          </w:p>
        </w:tc>
        <w:tc>
          <w:tcPr>
            <w:tcW w:w="4961" w:type="dxa"/>
          </w:tcPr>
          <w:p w14:paraId="4DBC3583" w14:textId="77777777" w:rsidR="00C47086" w:rsidRPr="00495768" w:rsidRDefault="00C47086" w:rsidP="00146E87">
            <w:pPr>
              <w:widowControl w:val="0"/>
              <w:rPr>
                <w:rFonts w:cs="Calibri"/>
                <w:b/>
                <w:u w:val="single"/>
              </w:rPr>
            </w:pPr>
            <w:r w:rsidRPr="00495768">
              <w:rPr>
                <w:rFonts w:cs="Calibri"/>
                <w:b/>
              </w:rPr>
              <w:t xml:space="preserve">Dane </w:t>
            </w:r>
            <w:proofErr w:type="spellStart"/>
            <w:r w:rsidRPr="00495768">
              <w:rPr>
                <w:rFonts w:cs="Calibri"/>
                <w:b/>
              </w:rPr>
              <w:t>kontaktowe</w:t>
            </w:r>
            <w:proofErr w:type="spellEnd"/>
            <w:r w:rsidRPr="00495768">
              <w:rPr>
                <w:rFonts w:cs="Calibri"/>
                <w:b/>
              </w:rPr>
              <w:t xml:space="preserve"> </w:t>
            </w:r>
          </w:p>
          <w:p w14:paraId="485DC5A5" w14:textId="77777777" w:rsidR="00C47086" w:rsidRPr="00495768" w:rsidRDefault="00C47086" w:rsidP="00146E87">
            <w:pPr>
              <w:widowControl w:val="0"/>
              <w:rPr>
                <w:rFonts w:cs="Calibri"/>
                <w:b/>
              </w:rPr>
            </w:pPr>
          </w:p>
        </w:tc>
      </w:tr>
      <w:tr w:rsidR="00C47086" w:rsidRPr="00211AC9" w14:paraId="10DB7EBD" w14:textId="77777777" w:rsidTr="00434A5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95CC" w14:textId="0DBAF4A0" w:rsidR="00C47086" w:rsidRPr="00211AC9" w:rsidRDefault="00385A94" w:rsidP="00146E87">
            <w:pPr>
              <w:widowControl w:val="0"/>
              <w:rPr>
                <w:rFonts w:cs="Calibri"/>
                <w:b/>
              </w:rPr>
            </w:pPr>
            <w:proofErr w:type="spellStart"/>
            <w:r>
              <w:rPr>
                <w:rFonts w:cs="Calibri"/>
              </w:rPr>
              <w:t>Capecitabine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Teva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62B1" w14:textId="0F1BA9AB" w:rsidR="00C47086" w:rsidRPr="00211AC9" w:rsidRDefault="00385A94" w:rsidP="00146E87">
            <w:pPr>
              <w:widowControl w:val="0"/>
              <w:rPr>
                <w:rFonts w:cs="Calibri"/>
              </w:rPr>
            </w:pPr>
            <w:proofErr w:type="spellStart"/>
            <w:r w:rsidRPr="00385A94">
              <w:rPr>
                <w:rFonts w:cs="Calibri"/>
              </w:rPr>
              <w:t>Teva</w:t>
            </w:r>
            <w:proofErr w:type="spellEnd"/>
            <w:r w:rsidRPr="00385A94">
              <w:rPr>
                <w:rFonts w:cs="Calibri"/>
              </w:rPr>
              <w:t xml:space="preserve"> B.V.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E0E4" w14:textId="77777777" w:rsidR="00C47086" w:rsidRPr="00C47086" w:rsidRDefault="00C47086" w:rsidP="00146E87">
            <w:pPr>
              <w:widowControl w:val="0"/>
              <w:rPr>
                <w:rFonts w:cs="Calibri"/>
                <w:lang w:val="pl-PL"/>
              </w:rPr>
            </w:pPr>
            <w:proofErr w:type="spellStart"/>
            <w:r w:rsidRPr="00C47086">
              <w:rPr>
                <w:rFonts w:cs="Calibri"/>
                <w:lang w:val="pl-PL"/>
              </w:rPr>
              <w:t>Teva</w:t>
            </w:r>
            <w:proofErr w:type="spellEnd"/>
            <w:r w:rsidRPr="00C47086">
              <w:rPr>
                <w:rFonts w:cs="Calibri"/>
                <w:lang w:val="pl-PL"/>
              </w:rPr>
              <w:t xml:space="preserve"> </w:t>
            </w:r>
            <w:proofErr w:type="spellStart"/>
            <w:r w:rsidRPr="00C47086">
              <w:rPr>
                <w:rFonts w:cs="Calibri"/>
                <w:lang w:val="pl-PL"/>
              </w:rPr>
              <w:t>Pharmaceuticals</w:t>
            </w:r>
            <w:proofErr w:type="spellEnd"/>
            <w:r w:rsidRPr="00C47086">
              <w:rPr>
                <w:rFonts w:cs="Calibri"/>
                <w:lang w:val="pl-PL"/>
              </w:rPr>
              <w:t xml:space="preserve"> Polska Sp. z o.o.</w:t>
            </w:r>
          </w:p>
          <w:p w14:paraId="45671479" w14:textId="77777777" w:rsidR="00CA3EBA" w:rsidRDefault="00C47086" w:rsidP="00146E87">
            <w:pPr>
              <w:widowControl w:val="0"/>
              <w:rPr>
                <w:rFonts w:cs="Calibri"/>
                <w:lang w:val="pl-PL"/>
              </w:rPr>
            </w:pPr>
            <w:r w:rsidRPr="00C47086">
              <w:rPr>
                <w:rFonts w:cs="Calibri"/>
                <w:lang w:val="pl-PL"/>
              </w:rPr>
              <w:t>ul. Osmańska 12</w:t>
            </w:r>
          </w:p>
          <w:p w14:paraId="7C6A5454" w14:textId="01C7E591" w:rsidR="00C47086" w:rsidRDefault="00C47086" w:rsidP="00146E87">
            <w:pPr>
              <w:widowControl w:val="0"/>
              <w:rPr>
                <w:rFonts w:cs="Calibri"/>
                <w:lang w:val="pl-PL"/>
              </w:rPr>
            </w:pPr>
            <w:r w:rsidRPr="00C47086">
              <w:rPr>
                <w:rFonts w:cs="Calibri"/>
                <w:lang w:val="pl-PL"/>
              </w:rPr>
              <w:t>02-823 Warszawa</w:t>
            </w:r>
          </w:p>
          <w:p w14:paraId="2AA51EBD" w14:textId="33CB6AAB" w:rsidR="002B1D5F" w:rsidRPr="00434A52" w:rsidRDefault="002B1D5F" w:rsidP="00146E87">
            <w:pPr>
              <w:widowControl w:val="0"/>
              <w:rPr>
                <w:rFonts w:cs="Calibri"/>
                <w:u w:val="single"/>
                <w:lang w:val="pl-PL"/>
              </w:rPr>
            </w:pPr>
            <w:r w:rsidRPr="00DC2B85">
              <w:rPr>
                <w:rFonts w:cs="Calibri"/>
                <w:u w:val="single"/>
                <w:lang w:val="pl-PL"/>
              </w:rPr>
              <w:t>Zgłaszanie działań niepożądanych:</w:t>
            </w:r>
          </w:p>
          <w:p w14:paraId="163221FD" w14:textId="77777777" w:rsidR="00C47086" w:rsidRPr="00434A52" w:rsidRDefault="00C47086" w:rsidP="00146E87">
            <w:pPr>
              <w:widowControl w:val="0"/>
              <w:rPr>
                <w:rFonts w:cs="Calibri"/>
              </w:rPr>
            </w:pPr>
            <w:r w:rsidRPr="00434A52">
              <w:rPr>
                <w:rFonts w:cs="Calibri"/>
              </w:rPr>
              <w:t>e-mail: safety.poland@teva.pl</w:t>
            </w:r>
          </w:p>
          <w:p w14:paraId="61353DB4" w14:textId="77777777" w:rsidR="002B1D5F" w:rsidRDefault="00C47086" w:rsidP="00146E87">
            <w:pPr>
              <w:widowControl w:val="0"/>
              <w:rPr>
                <w:rFonts w:cs="Calibri"/>
              </w:rPr>
            </w:pPr>
            <w:r w:rsidRPr="00211AC9">
              <w:rPr>
                <w:rFonts w:cs="Calibri"/>
              </w:rPr>
              <w:t>tel.: +48 22 345 94 21</w:t>
            </w:r>
          </w:p>
          <w:p w14:paraId="3FA982F0" w14:textId="6CBE9376" w:rsidR="00C47086" w:rsidRDefault="00C47086" w:rsidP="00146E87">
            <w:pPr>
              <w:widowControl w:val="0"/>
              <w:rPr>
                <w:rFonts w:cs="Calibri"/>
              </w:rPr>
            </w:pPr>
            <w:proofErr w:type="spellStart"/>
            <w:r w:rsidRPr="00211AC9">
              <w:rPr>
                <w:rFonts w:cs="Calibri"/>
              </w:rPr>
              <w:t>faks</w:t>
            </w:r>
            <w:proofErr w:type="spellEnd"/>
            <w:r w:rsidRPr="00211AC9">
              <w:rPr>
                <w:rFonts w:cs="Calibri"/>
              </w:rPr>
              <w:t>: +48  22 345 93 01</w:t>
            </w:r>
          </w:p>
          <w:p w14:paraId="1C4EA9F9" w14:textId="30120DD5" w:rsidR="002B1D5F" w:rsidRPr="00211AC9" w:rsidRDefault="002B1D5F" w:rsidP="00146E87">
            <w:pPr>
              <w:widowControl w:val="0"/>
              <w:rPr>
                <w:rFonts w:eastAsia="Verdana" w:cs="Calibri"/>
                <w:b/>
                <w:lang w:eastAsia="en-GB"/>
              </w:rPr>
            </w:pPr>
          </w:p>
        </w:tc>
      </w:tr>
      <w:tr w:rsidR="00C47086" w:rsidRPr="00AE5385" w14:paraId="2B1EE3E9" w14:textId="77777777" w:rsidTr="00434A5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AF30" w14:textId="41DEBA63" w:rsidR="00495768" w:rsidRDefault="00495768" w:rsidP="00146E8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Fluorouracil Accord</w:t>
            </w:r>
          </w:p>
          <w:p w14:paraId="052D2B47" w14:textId="41929FE1" w:rsidR="00C47086" w:rsidRPr="00211AC9" w:rsidRDefault="00495768" w:rsidP="00146E87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Capecitabine</w:t>
            </w:r>
            <w:proofErr w:type="spellEnd"/>
            <w:r>
              <w:rPr>
                <w:rFonts w:cs="Calibri"/>
              </w:rPr>
              <w:t xml:space="preserve"> Accord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F333" w14:textId="6C1299AF" w:rsidR="00C47086" w:rsidRPr="00AE5385" w:rsidRDefault="00495768" w:rsidP="00146E8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Accord Healthcare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AC0A" w14:textId="77777777" w:rsidR="00C47086" w:rsidRPr="00AE5385" w:rsidRDefault="00C47086" w:rsidP="00146E87">
            <w:pPr>
              <w:widowControl w:val="0"/>
              <w:rPr>
                <w:rFonts w:cs="Calibri"/>
              </w:rPr>
            </w:pPr>
            <w:r w:rsidRPr="00AE5385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ccord Healthcare </w:t>
            </w:r>
            <w:proofErr w:type="spellStart"/>
            <w:r>
              <w:rPr>
                <w:rFonts w:cs="Calibri"/>
              </w:rPr>
              <w:t>Polska</w:t>
            </w:r>
            <w:proofErr w:type="spellEnd"/>
            <w:r>
              <w:rPr>
                <w:rFonts w:cs="Calibri"/>
              </w:rPr>
              <w:t xml:space="preserve"> Sp. z </w:t>
            </w:r>
            <w:proofErr w:type="spellStart"/>
            <w:r>
              <w:rPr>
                <w:rFonts w:cs="Calibri"/>
              </w:rPr>
              <w:t>o.o</w:t>
            </w:r>
            <w:proofErr w:type="spellEnd"/>
            <w:r>
              <w:rPr>
                <w:rFonts w:cs="Calibri"/>
              </w:rPr>
              <w:t>.</w:t>
            </w:r>
          </w:p>
          <w:p w14:paraId="7743E488" w14:textId="77777777" w:rsidR="00C47086" w:rsidRPr="00C47086" w:rsidRDefault="00C47086" w:rsidP="00146E87">
            <w:pPr>
              <w:widowControl w:val="0"/>
              <w:rPr>
                <w:rFonts w:cs="Calibri"/>
                <w:lang w:val="pl-PL"/>
              </w:rPr>
            </w:pPr>
            <w:r w:rsidRPr="00C47086">
              <w:rPr>
                <w:rFonts w:cs="Calibri"/>
                <w:lang w:val="pl-PL"/>
              </w:rPr>
              <w:t>ul. Taśmowa 7,</w:t>
            </w:r>
          </w:p>
          <w:p w14:paraId="02A31AA3" w14:textId="77777777" w:rsidR="00C47086" w:rsidRPr="00C47086" w:rsidRDefault="00C47086" w:rsidP="00146E87">
            <w:pPr>
              <w:widowControl w:val="0"/>
              <w:rPr>
                <w:rFonts w:cs="Calibri"/>
                <w:lang w:val="pl-PL"/>
              </w:rPr>
            </w:pPr>
            <w:r w:rsidRPr="00C47086">
              <w:rPr>
                <w:rFonts w:cs="Calibri"/>
                <w:lang w:val="pl-PL"/>
              </w:rPr>
              <w:t>02-677 Warszawa</w:t>
            </w:r>
          </w:p>
          <w:p w14:paraId="4641A1FA" w14:textId="08AEF2D6" w:rsidR="00C47086" w:rsidRDefault="00C47086" w:rsidP="00146E87">
            <w:pPr>
              <w:widowControl w:val="0"/>
              <w:rPr>
                <w:rFonts w:cs="Calibri"/>
                <w:u w:val="single"/>
                <w:lang w:val="pl-PL"/>
              </w:rPr>
            </w:pPr>
            <w:r w:rsidRPr="00434A52">
              <w:rPr>
                <w:rFonts w:cs="Calibri"/>
                <w:u w:val="single"/>
                <w:lang w:val="pl-PL"/>
              </w:rPr>
              <w:t>Zgłaszanie działań niepożądanych:</w:t>
            </w:r>
          </w:p>
          <w:p w14:paraId="3AA6C339" w14:textId="2A9C467D" w:rsidR="002B1D5F" w:rsidRPr="00434A52" w:rsidRDefault="002B1D5F" w:rsidP="00146E87">
            <w:pPr>
              <w:widowControl w:val="0"/>
              <w:rPr>
                <w:rFonts w:cs="Calibri"/>
                <w:u w:val="single"/>
              </w:rPr>
            </w:pPr>
            <w:r w:rsidRPr="00AE5385">
              <w:rPr>
                <w:rFonts w:cs="Calibri"/>
              </w:rPr>
              <w:t>e-mail: poland@accord-healthcare.com</w:t>
            </w:r>
          </w:p>
          <w:p w14:paraId="5EEFC797" w14:textId="77777777" w:rsidR="00C47086" w:rsidRPr="00AE5385" w:rsidRDefault="00C47086" w:rsidP="00146E87">
            <w:pPr>
              <w:widowControl w:val="0"/>
              <w:rPr>
                <w:rFonts w:cs="Calibri"/>
              </w:rPr>
            </w:pPr>
            <w:r w:rsidRPr="00AE5385">
              <w:rPr>
                <w:rFonts w:cs="Calibri"/>
              </w:rPr>
              <w:t xml:space="preserve">tel.: + 48 22 577 28 00 </w:t>
            </w:r>
          </w:p>
          <w:p w14:paraId="2FC8DF8C" w14:textId="77777777" w:rsidR="00C47086" w:rsidRPr="00AE5385" w:rsidRDefault="00C47086" w:rsidP="00146E87">
            <w:pPr>
              <w:widowControl w:val="0"/>
              <w:rPr>
                <w:rFonts w:cs="Calibri"/>
              </w:rPr>
            </w:pPr>
            <w:proofErr w:type="spellStart"/>
            <w:r w:rsidRPr="00AE5385">
              <w:rPr>
                <w:rFonts w:cs="Calibri"/>
              </w:rPr>
              <w:t>faks</w:t>
            </w:r>
            <w:proofErr w:type="spellEnd"/>
            <w:r w:rsidRPr="00AE5385">
              <w:rPr>
                <w:rFonts w:cs="Calibri"/>
              </w:rPr>
              <w:t>: + 48 22 577 29 01</w:t>
            </w:r>
          </w:p>
          <w:p w14:paraId="4834C2B8" w14:textId="662C0104" w:rsidR="00C47086" w:rsidRPr="00AE5385" w:rsidRDefault="00C47086" w:rsidP="00146E87">
            <w:pPr>
              <w:widowControl w:val="0"/>
              <w:rPr>
                <w:rFonts w:cs="Calibri"/>
              </w:rPr>
            </w:pPr>
          </w:p>
        </w:tc>
      </w:tr>
      <w:tr w:rsidR="00C47086" w:rsidRPr="00715319" w14:paraId="16961F10" w14:textId="77777777" w:rsidTr="00434A5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A2E8" w14:textId="449F00C5" w:rsidR="00C47086" w:rsidRPr="00F461B9" w:rsidRDefault="002F265E" w:rsidP="00146E87">
            <w:pPr>
              <w:widowControl w:val="0"/>
              <w:rPr>
                <w:rFonts w:cs="Calibri"/>
                <w:lang w:val="en-GB"/>
              </w:rPr>
            </w:pPr>
            <w:r>
              <w:rPr>
                <w:rFonts w:cs="Calibri"/>
              </w:rPr>
              <w:t>5-Fluorouracil-Ebewe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7340" w14:textId="076B9C6E" w:rsidR="00C47086" w:rsidRPr="00F461B9" w:rsidRDefault="002F265E" w:rsidP="00146E87">
            <w:pPr>
              <w:widowControl w:val="0"/>
              <w:rPr>
                <w:rFonts w:cs="Calibri"/>
                <w:lang w:val="en-GB"/>
              </w:rPr>
            </w:pPr>
            <w:proofErr w:type="spellStart"/>
            <w:r>
              <w:rPr>
                <w:rFonts w:cs="Calibri"/>
                <w:lang w:val="en-GB"/>
              </w:rPr>
              <w:t>Ebewe</w:t>
            </w:r>
            <w:proofErr w:type="spellEnd"/>
            <w:r>
              <w:rPr>
                <w:rFonts w:cs="Calibri"/>
                <w:lang w:val="en-GB"/>
              </w:rPr>
              <w:t xml:space="preserve"> Pharma </w:t>
            </w:r>
            <w:proofErr w:type="spellStart"/>
            <w:r>
              <w:rPr>
                <w:rFonts w:cs="Calibri"/>
                <w:lang w:val="en-GB"/>
              </w:rPr>
              <w:t>Ges.m.b.H</w:t>
            </w:r>
            <w:proofErr w:type="spellEnd"/>
            <w:r>
              <w:rPr>
                <w:rFonts w:cs="Calibri"/>
                <w:lang w:val="en-GB"/>
              </w:rPr>
              <w:t xml:space="preserve"> Nfg.KG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3757" w14:textId="77777777" w:rsidR="00C47086" w:rsidRPr="00C47086" w:rsidRDefault="00C47086" w:rsidP="00146E87">
            <w:pPr>
              <w:widowControl w:val="0"/>
              <w:rPr>
                <w:rFonts w:cs="Calibri"/>
                <w:lang w:val="pl-PL"/>
              </w:rPr>
            </w:pPr>
            <w:proofErr w:type="spellStart"/>
            <w:r w:rsidRPr="00C47086">
              <w:rPr>
                <w:rFonts w:cs="Calibri"/>
                <w:lang w:val="pl-PL"/>
              </w:rPr>
              <w:t>Sandoz</w:t>
            </w:r>
            <w:proofErr w:type="spellEnd"/>
            <w:r w:rsidRPr="00C47086">
              <w:rPr>
                <w:rFonts w:cs="Calibri"/>
                <w:lang w:val="pl-PL"/>
              </w:rPr>
              <w:t xml:space="preserve"> Polska Sp. z o.o.</w:t>
            </w:r>
          </w:p>
          <w:p w14:paraId="201EDD53" w14:textId="70259C0C" w:rsidR="00C47086" w:rsidRPr="00C47086" w:rsidRDefault="00C47086" w:rsidP="00146E87">
            <w:pPr>
              <w:widowControl w:val="0"/>
              <w:rPr>
                <w:rFonts w:cs="Calibri"/>
                <w:lang w:val="pl-PL"/>
              </w:rPr>
            </w:pPr>
            <w:r w:rsidRPr="00C47086">
              <w:rPr>
                <w:rFonts w:cs="Calibri"/>
                <w:lang w:val="pl-PL"/>
              </w:rPr>
              <w:t>u</w:t>
            </w:r>
            <w:r w:rsidR="006A3B9A">
              <w:rPr>
                <w:rFonts w:cs="Calibri"/>
                <w:lang w:val="pl-PL"/>
              </w:rPr>
              <w:t>l</w:t>
            </w:r>
            <w:r w:rsidRPr="00C47086">
              <w:rPr>
                <w:rFonts w:cs="Calibri"/>
                <w:lang w:val="pl-PL"/>
              </w:rPr>
              <w:t>. Domaniewska 50 C</w:t>
            </w:r>
          </w:p>
          <w:p w14:paraId="5B1D6F06" w14:textId="77777777" w:rsidR="00C47086" w:rsidRPr="00C47086" w:rsidRDefault="00C47086" w:rsidP="00146E87">
            <w:pPr>
              <w:widowControl w:val="0"/>
              <w:rPr>
                <w:rFonts w:cs="Calibri"/>
                <w:lang w:val="pl-PL"/>
              </w:rPr>
            </w:pPr>
            <w:r w:rsidRPr="00C47086">
              <w:rPr>
                <w:rFonts w:cs="Calibri"/>
                <w:lang w:val="pl-PL"/>
              </w:rPr>
              <w:t>02-672 Warszawa</w:t>
            </w:r>
          </w:p>
          <w:p w14:paraId="13392A06" w14:textId="77777777" w:rsidR="00C47086" w:rsidRPr="00C47086" w:rsidRDefault="00C47086" w:rsidP="00146E87">
            <w:pPr>
              <w:widowControl w:val="0"/>
              <w:rPr>
                <w:rFonts w:cs="Calibri"/>
                <w:u w:val="single"/>
                <w:lang w:val="pl-PL"/>
              </w:rPr>
            </w:pPr>
            <w:r w:rsidRPr="00C47086">
              <w:rPr>
                <w:rFonts w:cs="Calibri"/>
                <w:u w:val="single"/>
                <w:lang w:val="pl-PL"/>
              </w:rPr>
              <w:t>Zgłaszanie zdarzeń niepożądanych:</w:t>
            </w:r>
          </w:p>
          <w:p w14:paraId="130DF0CA" w14:textId="77777777" w:rsidR="00C47086" w:rsidRPr="006160FC" w:rsidRDefault="00C47086" w:rsidP="00146E87">
            <w:pPr>
              <w:widowControl w:val="0"/>
              <w:rPr>
                <w:rFonts w:cs="Calibri"/>
              </w:rPr>
            </w:pPr>
            <w:r w:rsidRPr="00715319">
              <w:rPr>
                <w:rFonts w:cs="Calibri"/>
              </w:rPr>
              <w:t>e</w:t>
            </w:r>
            <w:r w:rsidRPr="006160FC">
              <w:rPr>
                <w:rFonts w:cs="Calibri"/>
              </w:rPr>
              <w:t>-</w:t>
            </w:r>
            <w:r w:rsidRPr="00715319">
              <w:rPr>
                <w:rFonts w:cs="Calibri"/>
              </w:rPr>
              <w:t xml:space="preserve">mail: </w:t>
            </w:r>
            <w:r w:rsidRPr="006160FC">
              <w:rPr>
                <w:rFonts w:cs="Calibri"/>
              </w:rPr>
              <w:t>zdarzenia.niepozadane@novartis.com</w:t>
            </w:r>
          </w:p>
          <w:p w14:paraId="18DB293C" w14:textId="1BBDB1BD" w:rsidR="00C47086" w:rsidRDefault="00C47086" w:rsidP="00146E8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tel</w:t>
            </w:r>
            <w:r w:rsidR="00CA3EBA">
              <w:rPr>
                <w:rFonts w:cs="Calibri"/>
              </w:rPr>
              <w:t>.</w:t>
            </w:r>
            <w:r w:rsidRPr="00A537D4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  <w:r w:rsidRPr="00A537D4">
              <w:rPr>
                <w:rFonts w:cs="Calibri"/>
              </w:rPr>
              <w:t>+48 22 375 48 80</w:t>
            </w:r>
          </w:p>
          <w:p w14:paraId="1ED56B0B" w14:textId="77777777" w:rsidR="00C47086" w:rsidRDefault="00C47086" w:rsidP="00146E87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faks</w:t>
            </w:r>
            <w:proofErr w:type="spellEnd"/>
            <w:r>
              <w:rPr>
                <w:rFonts w:cs="Calibri"/>
              </w:rPr>
              <w:t>: +48 22 375 47 50</w:t>
            </w:r>
          </w:p>
          <w:p w14:paraId="2AC9B0F3" w14:textId="152746D7" w:rsidR="00CA3EBA" w:rsidRPr="00715319" w:rsidRDefault="00CA3EBA" w:rsidP="00146E87">
            <w:pPr>
              <w:widowControl w:val="0"/>
              <w:rPr>
                <w:rFonts w:cs="Calibri"/>
              </w:rPr>
            </w:pPr>
          </w:p>
        </w:tc>
      </w:tr>
      <w:tr w:rsidR="00C47086" w:rsidRPr="002B1D5F" w14:paraId="2278721F" w14:textId="77777777" w:rsidTr="00434A5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8D5B" w14:textId="309BE0B8" w:rsidR="00F461B9" w:rsidRDefault="00F461B9" w:rsidP="00146E87">
            <w:pPr>
              <w:widowControl w:val="0"/>
              <w:rPr>
                <w:rFonts w:eastAsia="Verdana"/>
                <w:lang w:eastAsia="en-GB"/>
              </w:rPr>
            </w:pPr>
            <w:r>
              <w:rPr>
                <w:rFonts w:eastAsia="Verdana"/>
                <w:lang w:eastAsia="en-GB"/>
              </w:rPr>
              <w:t xml:space="preserve">Fluorouracil </w:t>
            </w:r>
            <w:proofErr w:type="spellStart"/>
            <w:r>
              <w:rPr>
                <w:rFonts w:eastAsia="Verdana"/>
                <w:lang w:eastAsia="en-GB"/>
              </w:rPr>
              <w:t>medac</w:t>
            </w:r>
            <w:proofErr w:type="spellEnd"/>
          </w:p>
          <w:p w14:paraId="4FE9DF3E" w14:textId="6F6DF0B4" w:rsidR="00F461B9" w:rsidRPr="00434A52" w:rsidRDefault="00F461B9" w:rsidP="00146E87">
            <w:pPr>
              <w:widowControl w:val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2A82" w14:textId="77777777" w:rsidR="00C47086" w:rsidRPr="00434A52" w:rsidRDefault="00C47086" w:rsidP="00146E87">
            <w:pPr>
              <w:widowControl w:val="0"/>
              <w:rPr>
                <w:rFonts w:cs="Calibri"/>
              </w:rPr>
            </w:pPr>
            <w:proofErr w:type="spellStart"/>
            <w:r w:rsidRPr="00434A52">
              <w:rPr>
                <w:rFonts w:cs="Calibri"/>
              </w:rPr>
              <w:t>medac</w:t>
            </w:r>
            <w:proofErr w:type="spellEnd"/>
            <w:r w:rsidRPr="00434A52">
              <w:rPr>
                <w:rFonts w:cs="Calibri"/>
              </w:rPr>
              <w:t xml:space="preserve"> </w:t>
            </w:r>
            <w:proofErr w:type="spellStart"/>
            <w:r w:rsidRPr="00434A52">
              <w:rPr>
                <w:rFonts w:cs="Calibri"/>
              </w:rPr>
              <w:t>Gesellschaft</w:t>
            </w:r>
            <w:proofErr w:type="spellEnd"/>
            <w:r w:rsidRPr="00434A52">
              <w:rPr>
                <w:rFonts w:cs="Calibri"/>
              </w:rPr>
              <w:t xml:space="preserve"> </w:t>
            </w:r>
            <w:proofErr w:type="spellStart"/>
            <w:r w:rsidRPr="00434A52">
              <w:rPr>
                <w:rFonts w:cs="Calibri"/>
              </w:rPr>
              <w:t>für</w:t>
            </w:r>
            <w:proofErr w:type="spellEnd"/>
            <w:r w:rsidRPr="00434A52">
              <w:rPr>
                <w:rFonts w:cs="Calibri"/>
              </w:rPr>
              <w:t xml:space="preserve"> </w:t>
            </w:r>
            <w:proofErr w:type="spellStart"/>
            <w:r w:rsidRPr="00434A52">
              <w:rPr>
                <w:rFonts w:cs="Calibri"/>
              </w:rPr>
              <w:t>klinische</w:t>
            </w:r>
            <w:proofErr w:type="spellEnd"/>
            <w:r w:rsidRPr="00434A52">
              <w:rPr>
                <w:rFonts w:cs="Calibri"/>
              </w:rPr>
              <w:t xml:space="preserve"> </w:t>
            </w:r>
            <w:proofErr w:type="spellStart"/>
            <w:r w:rsidRPr="00434A52">
              <w:rPr>
                <w:rFonts w:cs="Calibri"/>
              </w:rPr>
              <w:t>Spezialpräparate</w:t>
            </w:r>
            <w:proofErr w:type="spellEnd"/>
            <w:r w:rsidRPr="00434A52">
              <w:rPr>
                <w:rFonts w:cs="Calibri"/>
              </w:rPr>
              <w:t xml:space="preserve"> </w:t>
            </w:r>
            <w:proofErr w:type="spellStart"/>
            <w:r w:rsidRPr="00434A52">
              <w:rPr>
                <w:rFonts w:cs="Calibri"/>
              </w:rPr>
              <w:t>mbH</w:t>
            </w:r>
            <w:proofErr w:type="spellEnd"/>
            <w:r w:rsidRPr="00434A52">
              <w:rPr>
                <w:rFonts w:cs="Calibri"/>
              </w:rPr>
              <w:t xml:space="preserve"> </w:t>
            </w:r>
          </w:p>
          <w:p w14:paraId="0539A707" w14:textId="77777777" w:rsidR="00C47086" w:rsidRDefault="00C47086" w:rsidP="00146E87">
            <w:pPr>
              <w:widowControl w:val="0"/>
              <w:rPr>
                <w:rFonts w:cs="Calibri"/>
              </w:rPr>
            </w:pPr>
            <w:proofErr w:type="spellStart"/>
            <w:r w:rsidRPr="00715319">
              <w:rPr>
                <w:rFonts w:cs="Calibri"/>
                <w:lang w:val="en-GB"/>
              </w:rPr>
              <w:t>Theaterstr</w:t>
            </w:r>
            <w:proofErr w:type="spellEnd"/>
            <w:r w:rsidRPr="00715319">
              <w:rPr>
                <w:rFonts w:cs="Calibri"/>
                <w:lang w:val="en-GB"/>
              </w:rPr>
              <w:t xml:space="preserve">. </w:t>
            </w:r>
            <w:r w:rsidRPr="00DF4625">
              <w:rPr>
                <w:rFonts w:cs="Calibri"/>
              </w:rPr>
              <w:t xml:space="preserve">6 </w:t>
            </w:r>
          </w:p>
          <w:p w14:paraId="0FC97D4E" w14:textId="77777777" w:rsidR="00C47086" w:rsidRPr="00DF4625" w:rsidRDefault="00C47086" w:rsidP="00146E87">
            <w:pPr>
              <w:widowControl w:val="0"/>
              <w:rPr>
                <w:rFonts w:cs="Calibri"/>
              </w:rPr>
            </w:pPr>
            <w:r w:rsidRPr="00DF4625">
              <w:rPr>
                <w:rFonts w:cs="Calibri"/>
              </w:rPr>
              <w:t xml:space="preserve">22880 Wedel </w:t>
            </w:r>
            <w:proofErr w:type="spellStart"/>
            <w:r w:rsidRPr="00DF4625">
              <w:rPr>
                <w:rFonts w:cs="Calibri"/>
              </w:rPr>
              <w:t>Niemcy</w:t>
            </w:r>
            <w:proofErr w:type="spellEnd"/>
            <w:r w:rsidRPr="00DF4625">
              <w:rPr>
                <w:rFonts w:cs="Calibri"/>
              </w:rPr>
              <w:t xml:space="preserve"> </w:t>
            </w:r>
          </w:p>
          <w:p w14:paraId="3FD8D0EF" w14:textId="77777777" w:rsidR="00C47086" w:rsidRPr="00715319" w:rsidRDefault="00C47086" w:rsidP="00146E87">
            <w:pPr>
              <w:widowControl w:val="0"/>
              <w:rPr>
                <w:rFonts w:cs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321E" w14:textId="77777777" w:rsidR="00C47086" w:rsidRPr="00C47086" w:rsidRDefault="00C47086" w:rsidP="00146E87">
            <w:pPr>
              <w:widowControl w:val="0"/>
              <w:rPr>
                <w:rFonts w:cs="Calibri"/>
                <w:lang w:val="pl-PL"/>
              </w:rPr>
            </w:pPr>
            <w:proofErr w:type="spellStart"/>
            <w:r w:rsidRPr="00C47086">
              <w:rPr>
                <w:rFonts w:cs="Calibri"/>
                <w:lang w:val="pl-PL"/>
              </w:rPr>
              <w:t>medac</w:t>
            </w:r>
            <w:proofErr w:type="spellEnd"/>
            <w:r w:rsidRPr="00C47086">
              <w:rPr>
                <w:rFonts w:cs="Calibri"/>
                <w:lang w:val="pl-PL"/>
              </w:rPr>
              <w:t xml:space="preserve"> GmbH Sp. z o.o. Oddział w Polsce</w:t>
            </w:r>
          </w:p>
          <w:p w14:paraId="1693AC2D" w14:textId="77777777" w:rsidR="00C47086" w:rsidRPr="00C47086" w:rsidRDefault="00C47086" w:rsidP="00146E87">
            <w:pPr>
              <w:widowControl w:val="0"/>
              <w:rPr>
                <w:rFonts w:cs="Calibri"/>
                <w:lang w:val="pl-PL"/>
              </w:rPr>
            </w:pPr>
            <w:r w:rsidRPr="00C47086">
              <w:rPr>
                <w:rFonts w:cs="Calibri"/>
                <w:lang w:val="pl-PL"/>
              </w:rPr>
              <w:t>ul. Postępu 21B</w:t>
            </w:r>
          </w:p>
          <w:p w14:paraId="3A40F6D1" w14:textId="77777777" w:rsidR="00C47086" w:rsidRPr="00C47086" w:rsidRDefault="00C47086" w:rsidP="00146E87">
            <w:pPr>
              <w:widowControl w:val="0"/>
              <w:rPr>
                <w:rFonts w:cs="Calibri"/>
                <w:lang w:val="pl-PL"/>
              </w:rPr>
            </w:pPr>
            <w:r w:rsidRPr="00C47086">
              <w:rPr>
                <w:rFonts w:cs="Calibri"/>
                <w:lang w:val="pl-PL"/>
              </w:rPr>
              <w:t>02-676 Warszawa</w:t>
            </w:r>
          </w:p>
          <w:p w14:paraId="5CB3DE75" w14:textId="77082F77" w:rsidR="002B1D5F" w:rsidRDefault="002B1D5F" w:rsidP="002B1D5F">
            <w:pPr>
              <w:widowControl w:val="0"/>
              <w:rPr>
                <w:rFonts w:cs="Calibri"/>
                <w:u w:val="single"/>
                <w:lang w:val="pl-PL"/>
              </w:rPr>
            </w:pPr>
            <w:r w:rsidRPr="00DC2B85">
              <w:rPr>
                <w:rFonts w:cs="Calibri"/>
                <w:u w:val="single"/>
                <w:lang w:val="pl-PL"/>
              </w:rPr>
              <w:t>Zgłaszanie działań niepożądanych:</w:t>
            </w:r>
          </w:p>
          <w:p w14:paraId="1011E2AB" w14:textId="1931661B" w:rsidR="002B1D5F" w:rsidRPr="00434A52" w:rsidRDefault="002B1D5F" w:rsidP="002B1D5F">
            <w:pPr>
              <w:widowControl w:val="0"/>
              <w:rPr>
                <w:rFonts w:cs="Calibri"/>
                <w:u w:val="single"/>
              </w:rPr>
            </w:pPr>
            <w:r w:rsidRPr="002F4DAF">
              <w:rPr>
                <w:rFonts w:cs="Calibri"/>
              </w:rPr>
              <w:t xml:space="preserve">e-mail:  </w:t>
            </w:r>
            <w:r w:rsidRPr="00434A52">
              <w:rPr>
                <w:rFonts w:cs="Calibri"/>
              </w:rPr>
              <w:t>drugsafety@medac.pl</w:t>
            </w:r>
          </w:p>
          <w:p w14:paraId="27ED510E" w14:textId="3BD00EC3" w:rsidR="00C47086" w:rsidRPr="009C3950" w:rsidRDefault="002B1D5F" w:rsidP="00146E87">
            <w:pPr>
              <w:widowControl w:val="0"/>
              <w:rPr>
                <w:rFonts w:cs="Calibri"/>
                <w:lang w:val="en-GB"/>
              </w:rPr>
            </w:pPr>
            <w:r w:rsidRPr="00434A52">
              <w:rPr>
                <w:rFonts w:cs="Calibri"/>
              </w:rPr>
              <w:t xml:space="preserve">tel.: </w:t>
            </w:r>
            <w:r w:rsidR="00C47086" w:rsidRPr="009C3950">
              <w:rPr>
                <w:rFonts w:cs="Calibri"/>
                <w:lang w:val="en-GB"/>
              </w:rPr>
              <w:t>+48 22 430 00 31</w:t>
            </w:r>
          </w:p>
          <w:p w14:paraId="564B513D" w14:textId="3A147529" w:rsidR="00C47086" w:rsidRPr="009C3950" w:rsidRDefault="00C47086" w:rsidP="00146E87">
            <w:pPr>
              <w:widowControl w:val="0"/>
              <w:rPr>
                <w:rFonts w:cs="Calibri"/>
                <w:lang w:val="en-GB"/>
              </w:rPr>
            </w:pPr>
          </w:p>
        </w:tc>
      </w:tr>
      <w:tr w:rsidR="003A096B" w:rsidRPr="00DD7C6F" w14:paraId="0290C96A" w14:textId="77777777" w:rsidTr="00434A52">
        <w:trPr>
          <w:trHeight w:val="1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6203" w14:textId="1D8501BF" w:rsidR="003A096B" w:rsidRPr="00434A52" w:rsidRDefault="001024C2" w:rsidP="00146E87">
            <w:pPr>
              <w:widowControl w:val="0"/>
              <w:rPr>
                <w:rFonts w:cs="Calibri"/>
                <w:lang w:val="pl-PL"/>
              </w:rPr>
            </w:pPr>
            <w:proofErr w:type="spellStart"/>
            <w:r w:rsidRPr="00434A52">
              <w:rPr>
                <w:rFonts w:cs="Calibri"/>
                <w:lang w:val="pl-PL"/>
              </w:rPr>
              <w:t>Capecitabine</w:t>
            </w:r>
            <w:proofErr w:type="spellEnd"/>
            <w:r w:rsidRPr="00434A52">
              <w:rPr>
                <w:rFonts w:cs="Calibri"/>
                <w:lang w:val="pl-PL"/>
              </w:rPr>
              <w:t xml:space="preserve"> </w:t>
            </w:r>
            <w:proofErr w:type="spellStart"/>
            <w:r w:rsidRPr="00434A52">
              <w:rPr>
                <w:rFonts w:cs="Calibri"/>
                <w:lang w:val="pl-PL"/>
              </w:rPr>
              <w:t>Glenmark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805" w14:textId="3E1FF952" w:rsidR="003A096B" w:rsidRPr="00495768" w:rsidRDefault="00403269" w:rsidP="00146E87">
            <w:pPr>
              <w:widowControl w:val="0"/>
              <w:rPr>
                <w:rFonts w:cs="Calibri"/>
                <w:lang w:val="pl-PL"/>
              </w:rPr>
            </w:pPr>
            <w:proofErr w:type="spellStart"/>
            <w:r w:rsidRPr="00495768">
              <w:rPr>
                <w:rFonts w:cs="Calibri"/>
                <w:lang w:val="pl-PL"/>
              </w:rPr>
              <w:t>Glenmar</w:t>
            </w:r>
            <w:r w:rsidR="004D0675">
              <w:rPr>
                <w:rFonts w:cs="Calibri"/>
                <w:lang w:val="pl-PL"/>
              </w:rPr>
              <w:t>k</w:t>
            </w:r>
            <w:proofErr w:type="spellEnd"/>
            <w:r w:rsidR="00C66F72" w:rsidRPr="00495768">
              <w:rPr>
                <w:rFonts w:cs="Calibri"/>
                <w:lang w:val="pl-PL"/>
              </w:rPr>
              <w:t xml:space="preserve"> </w:t>
            </w:r>
            <w:proofErr w:type="spellStart"/>
            <w:r w:rsidR="00C66F72" w:rsidRPr="00495768">
              <w:rPr>
                <w:rFonts w:cs="Calibri"/>
                <w:lang w:val="pl-PL"/>
              </w:rPr>
              <w:t>Pharmaceuticals</w:t>
            </w:r>
            <w:proofErr w:type="spellEnd"/>
            <w:r w:rsidR="00C66F72" w:rsidRPr="00495768">
              <w:rPr>
                <w:rFonts w:cs="Calibri"/>
                <w:lang w:val="pl-PL"/>
              </w:rPr>
              <w:t xml:space="preserve"> </w:t>
            </w:r>
            <w:proofErr w:type="spellStart"/>
            <w:r w:rsidR="00C66F72" w:rsidRPr="00495768">
              <w:rPr>
                <w:rFonts w:cs="Calibri"/>
                <w:lang w:val="pl-PL"/>
              </w:rPr>
              <w:t>s.r.o</w:t>
            </w:r>
            <w:proofErr w:type="spellEnd"/>
            <w:r w:rsidR="00C66F72" w:rsidRPr="00495768">
              <w:rPr>
                <w:rFonts w:cs="Calibri"/>
                <w:lang w:val="pl-PL"/>
              </w:rPr>
              <w:t>., Republika Czeska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72D2" w14:textId="77777777" w:rsidR="004D0CD1" w:rsidRPr="00495768" w:rsidRDefault="00C66F72" w:rsidP="00146E87">
            <w:pPr>
              <w:widowControl w:val="0"/>
              <w:rPr>
                <w:rFonts w:cs="Calibri"/>
                <w:lang w:val="pl-PL"/>
              </w:rPr>
            </w:pPr>
            <w:proofErr w:type="spellStart"/>
            <w:r w:rsidRPr="004D0CD1">
              <w:rPr>
                <w:rFonts w:cs="Calibri"/>
                <w:lang w:val="pl-PL"/>
              </w:rPr>
              <w:t>Glenmark</w:t>
            </w:r>
            <w:proofErr w:type="spellEnd"/>
            <w:r w:rsidRPr="004D0CD1">
              <w:rPr>
                <w:rFonts w:cs="Calibri"/>
                <w:lang w:val="pl-PL"/>
              </w:rPr>
              <w:t xml:space="preserve"> </w:t>
            </w:r>
            <w:proofErr w:type="spellStart"/>
            <w:r w:rsidRPr="004D0CD1">
              <w:rPr>
                <w:rFonts w:cs="Calibri"/>
                <w:lang w:val="pl-PL"/>
              </w:rPr>
              <w:t>Pharmaceuticals</w:t>
            </w:r>
            <w:proofErr w:type="spellEnd"/>
            <w:r w:rsidRPr="004D0CD1">
              <w:rPr>
                <w:rFonts w:cs="Calibri"/>
                <w:lang w:val="pl-PL"/>
              </w:rPr>
              <w:t xml:space="preserve"> S</w:t>
            </w:r>
            <w:r w:rsidR="004D0CD1" w:rsidRPr="004D0CD1">
              <w:rPr>
                <w:rFonts w:cs="Calibri"/>
                <w:lang w:val="pl-PL"/>
              </w:rPr>
              <w:t xml:space="preserve">p. z o. </w:t>
            </w:r>
            <w:r w:rsidR="004D0CD1" w:rsidRPr="00495768">
              <w:rPr>
                <w:rFonts w:cs="Calibri"/>
                <w:lang w:val="pl-PL"/>
              </w:rPr>
              <w:t>o.</w:t>
            </w:r>
          </w:p>
          <w:p w14:paraId="432501CB" w14:textId="081C72E6" w:rsidR="004D0CD1" w:rsidRDefault="004D0675" w:rsidP="00146E87">
            <w:pPr>
              <w:widowControl w:val="0"/>
              <w:rPr>
                <w:rFonts w:cs="Calibri"/>
                <w:lang w:val="pl-PL"/>
              </w:rPr>
            </w:pPr>
            <w:r w:rsidRPr="004D0675">
              <w:rPr>
                <w:rFonts w:cs="Calibri"/>
                <w:lang w:val="pl-PL"/>
              </w:rPr>
              <w:t>u</w:t>
            </w:r>
            <w:r w:rsidR="004D0CD1" w:rsidRPr="00495768">
              <w:rPr>
                <w:rFonts w:cs="Calibri"/>
                <w:lang w:val="pl-PL"/>
              </w:rPr>
              <w:t xml:space="preserve">l. </w:t>
            </w:r>
            <w:r w:rsidR="004D0CD1">
              <w:rPr>
                <w:rFonts w:cs="Calibri"/>
                <w:lang w:val="pl-PL"/>
              </w:rPr>
              <w:t>Osmańska 14, 02-823 Warszawa</w:t>
            </w:r>
          </w:p>
          <w:p w14:paraId="5643C61C" w14:textId="7262EAF4" w:rsidR="00584E1C" w:rsidRPr="00495768" w:rsidRDefault="00584E1C" w:rsidP="00146E87">
            <w:pPr>
              <w:widowControl w:val="0"/>
              <w:rPr>
                <w:rFonts w:cs="Calibri"/>
                <w:u w:val="single"/>
                <w:lang w:val="pl-PL"/>
              </w:rPr>
            </w:pPr>
            <w:r w:rsidRPr="00495768">
              <w:rPr>
                <w:rFonts w:cs="Calibri"/>
                <w:u w:val="single"/>
                <w:lang w:val="pl-PL"/>
              </w:rPr>
              <w:t>Zgłaszanie działań niepożądanych</w:t>
            </w:r>
            <w:r w:rsidR="00DD7C6F" w:rsidRPr="00495768">
              <w:rPr>
                <w:rFonts w:cs="Calibri"/>
                <w:u w:val="single"/>
                <w:lang w:val="pl-PL"/>
              </w:rPr>
              <w:t>:</w:t>
            </w:r>
          </w:p>
          <w:p w14:paraId="2CF026C5" w14:textId="3DDF7A7D" w:rsidR="004D0675" w:rsidRPr="009C3950" w:rsidRDefault="004D0CD1" w:rsidP="00146E87">
            <w:pPr>
              <w:widowControl w:val="0"/>
              <w:rPr>
                <w:rFonts w:cs="Calibri"/>
                <w:lang w:val="pl-PL"/>
              </w:rPr>
            </w:pPr>
            <w:bookmarkStart w:id="4" w:name="_GoBack"/>
            <w:r w:rsidRPr="009C3950">
              <w:rPr>
                <w:rFonts w:cs="Calibri"/>
                <w:lang w:val="pl-PL"/>
              </w:rPr>
              <w:t xml:space="preserve">e-mail: </w:t>
            </w:r>
            <w:r w:rsidR="002F4DAF" w:rsidRPr="009C3950">
              <w:rPr>
                <w:lang w:val="pl-PL"/>
              </w:rPr>
              <w:t>poland.receptionist@glenmarkpharma.com</w:t>
            </w:r>
          </w:p>
          <w:bookmarkEnd w:id="4"/>
          <w:p w14:paraId="2BE63B55" w14:textId="28428E97" w:rsidR="00584E1C" w:rsidRPr="00495768" w:rsidRDefault="00584E1C" w:rsidP="00146E87">
            <w:pPr>
              <w:widowControl w:val="0"/>
              <w:rPr>
                <w:rFonts w:cs="Calibri"/>
              </w:rPr>
            </w:pPr>
            <w:r w:rsidRPr="00495768">
              <w:rPr>
                <w:rFonts w:cs="Calibri"/>
              </w:rPr>
              <w:t>tel. 22 35 12 500</w:t>
            </w:r>
          </w:p>
          <w:p w14:paraId="1C65017D" w14:textId="566405EA" w:rsidR="00584E1C" w:rsidRPr="00495768" w:rsidRDefault="00584E1C" w:rsidP="00146E87">
            <w:pPr>
              <w:widowControl w:val="0"/>
              <w:rPr>
                <w:rFonts w:cs="Calibri"/>
              </w:rPr>
            </w:pPr>
            <w:proofErr w:type="spellStart"/>
            <w:r w:rsidRPr="00495768">
              <w:rPr>
                <w:rFonts w:cs="Calibri"/>
              </w:rPr>
              <w:t>faks</w:t>
            </w:r>
            <w:proofErr w:type="spellEnd"/>
            <w:r w:rsidRPr="00495768">
              <w:rPr>
                <w:rFonts w:cs="Calibri"/>
              </w:rPr>
              <w:t xml:space="preserve"> 22 35 12 501</w:t>
            </w:r>
          </w:p>
          <w:p w14:paraId="2BBC4463" w14:textId="40DC9A53" w:rsidR="003A096B" w:rsidRDefault="002F4DAF" w:rsidP="00146E87">
            <w:pPr>
              <w:widowControl w:val="0"/>
              <w:rPr>
                <w:rFonts w:cs="Calibri"/>
              </w:rPr>
            </w:pPr>
            <w:r w:rsidRPr="00434A52">
              <w:t>http://www.glenmark-pharma.pl</w:t>
            </w:r>
          </w:p>
          <w:p w14:paraId="66130417" w14:textId="7C783CAA" w:rsidR="00CA3EBA" w:rsidRPr="00495768" w:rsidRDefault="00CA3EBA" w:rsidP="00146E87">
            <w:pPr>
              <w:widowControl w:val="0"/>
              <w:rPr>
                <w:rFonts w:cs="Calibri"/>
              </w:rPr>
            </w:pPr>
          </w:p>
        </w:tc>
      </w:tr>
      <w:tr w:rsidR="003A096B" w:rsidRPr="00330AF7" w14:paraId="485F23AE" w14:textId="77777777" w:rsidTr="00434A5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59E0" w14:textId="3B5447B2" w:rsidR="003A096B" w:rsidRPr="00A37977" w:rsidRDefault="00D808D0" w:rsidP="00146E87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lastRenderedPageBreak/>
              <w:t>Xeloda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8615" w14:textId="396B9802" w:rsidR="003A096B" w:rsidRPr="00A37977" w:rsidRDefault="00D808D0" w:rsidP="00146E8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Roche Registration GmbH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4A60" w14:textId="76E03BCB" w:rsidR="00D808D0" w:rsidRPr="00495768" w:rsidRDefault="00D808D0" w:rsidP="00D808D0">
            <w:pPr>
              <w:widowControl w:val="0"/>
              <w:rPr>
                <w:rFonts w:cs="Calibri"/>
                <w:lang w:val="pl-PL"/>
              </w:rPr>
            </w:pPr>
            <w:r w:rsidRPr="00495768">
              <w:rPr>
                <w:rFonts w:cs="Calibri"/>
                <w:lang w:val="pl-PL"/>
              </w:rPr>
              <w:t>Roche Polska Sp. z o.o.</w:t>
            </w:r>
          </w:p>
          <w:p w14:paraId="138F495A" w14:textId="77777777" w:rsidR="00D808D0" w:rsidRPr="00495768" w:rsidRDefault="00D808D0" w:rsidP="00D808D0">
            <w:pPr>
              <w:widowControl w:val="0"/>
              <w:rPr>
                <w:rFonts w:cs="Calibri"/>
                <w:lang w:val="pl-PL"/>
              </w:rPr>
            </w:pPr>
            <w:r w:rsidRPr="00495768">
              <w:rPr>
                <w:rFonts w:cs="Calibri"/>
                <w:lang w:val="pl-PL"/>
              </w:rPr>
              <w:t>ul. Domaniewska 39B</w:t>
            </w:r>
          </w:p>
          <w:p w14:paraId="7AFDBA90" w14:textId="77777777" w:rsidR="00D808D0" w:rsidRPr="00495768" w:rsidRDefault="00D808D0" w:rsidP="00D808D0">
            <w:pPr>
              <w:widowControl w:val="0"/>
              <w:rPr>
                <w:rFonts w:cs="Calibri"/>
                <w:lang w:val="pl-PL"/>
              </w:rPr>
            </w:pPr>
            <w:r w:rsidRPr="00495768">
              <w:rPr>
                <w:rFonts w:cs="Calibri"/>
                <w:lang w:val="pl-PL"/>
              </w:rPr>
              <w:t>02-672 Warszawa</w:t>
            </w:r>
          </w:p>
          <w:p w14:paraId="48931A2F" w14:textId="77777777" w:rsidR="002B1D5F" w:rsidRPr="00DC2B85" w:rsidRDefault="002B1D5F" w:rsidP="002B1D5F">
            <w:pPr>
              <w:widowControl w:val="0"/>
              <w:rPr>
                <w:rFonts w:cs="Calibri"/>
                <w:u w:val="single"/>
                <w:lang w:val="pl-PL"/>
              </w:rPr>
            </w:pPr>
            <w:r w:rsidRPr="00DC2B85">
              <w:rPr>
                <w:rFonts w:cs="Calibri"/>
                <w:u w:val="single"/>
                <w:lang w:val="pl-PL"/>
              </w:rPr>
              <w:t>Zgłaszanie działań niepożądanych:</w:t>
            </w:r>
          </w:p>
          <w:p w14:paraId="416B10B3" w14:textId="77777777" w:rsidR="00D808D0" w:rsidRPr="00D808D0" w:rsidRDefault="00D808D0" w:rsidP="00D808D0">
            <w:pPr>
              <w:widowControl w:val="0"/>
              <w:rPr>
                <w:rFonts w:cs="Calibri"/>
              </w:rPr>
            </w:pPr>
            <w:r w:rsidRPr="00D808D0">
              <w:rPr>
                <w:rFonts w:cs="Calibri"/>
              </w:rPr>
              <w:t>e-mail: warsaw.drug-safety@roche.com</w:t>
            </w:r>
          </w:p>
          <w:p w14:paraId="436C73E0" w14:textId="77777777" w:rsidR="00D808D0" w:rsidRPr="00495768" w:rsidRDefault="00D808D0" w:rsidP="00D808D0">
            <w:pPr>
              <w:widowControl w:val="0"/>
              <w:rPr>
                <w:rFonts w:cs="Calibri"/>
                <w:lang w:val="pl-PL"/>
              </w:rPr>
            </w:pPr>
            <w:r w:rsidRPr="00495768">
              <w:rPr>
                <w:rFonts w:cs="Calibri"/>
                <w:lang w:val="pl-PL"/>
              </w:rPr>
              <w:t>tel.: +48 22 345 17 57</w:t>
            </w:r>
          </w:p>
          <w:p w14:paraId="32A631D7" w14:textId="3FF73B77" w:rsidR="00D808D0" w:rsidRPr="00495768" w:rsidRDefault="00D808D0" w:rsidP="00D808D0">
            <w:pPr>
              <w:widowControl w:val="0"/>
              <w:rPr>
                <w:rFonts w:cs="Calibri"/>
                <w:lang w:val="pl-PL"/>
              </w:rPr>
            </w:pPr>
            <w:r w:rsidRPr="00495768">
              <w:rPr>
                <w:rFonts w:cs="Calibri"/>
                <w:lang w:val="pl-PL"/>
              </w:rPr>
              <w:t>fa</w:t>
            </w:r>
            <w:r w:rsidR="00CA3EBA">
              <w:rPr>
                <w:rFonts w:cs="Calibri"/>
                <w:lang w:val="pl-PL"/>
              </w:rPr>
              <w:t>ks</w:t>
            </w:r>
            <w:r w:rsidRPr="00495768">
              <w:rPr>
                <w:rFonts w:cs="Calibri"/>
                <w:lang w:val="pl-PL"/>
              </w:rPr>
              <w:t>: +48 22 345 17 90</w:t>
            </w:r>
          </w:p>
          <w:p w14:paraId="191E17E5" w14:textId="08E4FA9B" w:rsidR="00AA77C4" w:rsidRDefault="00D808D0" w:rsidP="00D808D0">
            <w:pPr>
              <w:widowControl w:val="0"/>
              <w:rPr>
                <w:rStyle w:val="Hipercze"/>
                <w:lang w:val="pl-PL"/>
              </w:rPr>
            </w:pPr>
            <w:r w:rsidRPr="00495768">
              <w:rPr>
                <w:rFonts w:cs="Calibri"/>
                <w:lang w:val="pl-PL"/>
              </w:rPr>
              <w:t xml:space="preserve">Formularz do zgłaszania działań niepożądanych dostępny pod adresem: </w:t>
            </w:r>
            <w:r w:rsidR="002F4DAF" w:rsidRPr="00434A52">
              <w:rPr>
                <w:lang w:val="pl-PL"/>
              </w:rPr>
              <w:t>https://www.roche.pl/pl/bezpieczenstwo-produktow/zglaszanie-dzialan-niepozadanych.html</w:t>
            </w:r>
          </w:p>
          <w:p w14:paraId="39E2AEF8" w14:textId="60FE5C0C" w:rsidR="00CA3EBA" w:rsidRPr="00495768" w:rsidRDefault="00CA3EBA" w:rsidP="00D808D0">
            <w:pPr>
              <w:widowControl w:val="0"/>
              <w:rPr>
                <w:rFonts w:cs="Calibri"/>
                <w:lang w:val="pl-PL"/>
              </w:rPr>
            </w:pPr>
          </w:p>
        </w:tc>
      </w:tr>
      <w:tr w:rsidR="0048796F" w:rsidRPr="0048796F" w14:paraId="61709918" w14:textId="77777777" w:rsidTr="00CA3E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497" w14:textId="631362EB" w:rsidR="0048796F" w:rsidRDefault="0048796F" w:rsidP="0048796F">
            <w:pPr>
              <w:widowControl w:val="0"/>
              <w:rPr>
                <w:rFonts w:cs="Calibri"/>
              </w:rPr>
            </w:pPr>
            <w:proofErr w:type="spellStart"/>
            <w:r w:rsidRPr="00434A52">
              <w:rPr>
                <w:rFonts w:cs="Calibri"/>
                <w:lang w:val="pl-PL"/>
              </w:rPr>
              <w:t>Ecansya</w:t>
            </w:r>
            <w:proofErr w:type="spellEnd"/>
            <w:r w:rsidRPr="00434A52">
              <w:rPr>
                <w:rFonts w:cs="Calibri"/>
                <w:lang w:val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4627" w14:textId="0BAD5A24" w:rsidR="0048796F" w:rsidRPr="00434A52" w:rsidRDefault="0048796F" w:rsidP="00146E87">
            <w:pPr>
              <w:widowControl w:val="0"/>
              <w:rPr>
                <w:rFonts w:cs="Calibri"/>
                <w:lang w:val="pl-PL"/>
              </w:rPr>
            </w:pPr>
            <w:r w:rsidRPr="00434A52">
              <w:rPr>
                <w:rFonts w:cs="Calibri"/>
                <w:lang w:val="pl-PL"/>
              </w:rPr>
              <w:t xml:space="preserve">KRKA, </w:t>
            </w:r>
            <w:proofErr w:type="spellStart"/>
            <w:r w:rsidRPr="00434A52">
              <w:rPr>
                <w:rFonts w:cs="Calibri"/>
                <w:lang w:val="pl-PL"/>
              </w:rPr>
              <w:t>d.d</w:t>
            </w:r>
            <w:proofErr w:type="spellEnd"/>
            <w:r w:rsidRPr="00434A52">
              <w:rPr>
                <w:rFonts w:cs="Calibri"/>
                <w:lang w:val="pl-PL"/>
              </w:rPr>
              <w:t xml:space="preserve">., Novo </w:t>
            </w:r>
            <w:proofErr w:type="spellStart"/>
            <w:r w:rsidRPr="00434A52">
              <w:rPr>
                <w:rFonts w:cs="Calibri"/>
                <w:lang w:val="pl-PL"/>
              </w:rPr>
              <w:t>mesto</w:t>
            </w:r>
            <w:proofErr w:type="spellEnd"/>
            <w:r w:rsidRPr="00434A52">
              <w:rPr>
                <w:rFonts w:cs="Calibri"/>
                <w:lang w:val="pl-PL"/>
              </w:rPr>
              <w:t xml:space="preserve">, </w:t>
            </w:r>
            <w:proofErr w:type="spellStart"/>
            <w:r w:rsidRPr="00434A52">
              <w:rPr>
                <w:rFonts w:cs="Calibri"/>
                <w:lang w:val="pl-PL"/>
              </w:rPr>
              <w:t>Šmarješka</w:t>
            </w:r>
            <w:proofErr w:type="spellEnd"/>
            <w:r w:rsidRPr="00434A52">
              <w:rPr>
                <w:rFonts w:cs="Calibri"/>
                <w:lang w:val="pl-PL"/>
              </w:rPr>
              <w:t xml:space="preserve"> </w:t>
            </w:r>
            <w:proofErr w:type="spellStart"/>
            <w:r w:rsidRPr="00434A52">
              <w:rPr>
                <w:rFonts w:cs="Calibri"/>
                <w:lang w:val="pl-PL"/>
              </w:rPr>
              <w:t>cesta</w:t>
            </w:r>
            <w:proofErr w:type="spellEnd"/>
            <w:r w:rsidRPr="00434A52">
              <w:rPr>
                <w:rFonts w:cs="Calibri"/>
                <w:lang w:val="pl-PL"/>
              </w:rPr>
              <w:t xml:space="preserve"> 6, 8501 Novo </w:t>
            </w:r>
            <w:proofErr w:type="spellStart"/>
            <w:r w:rsidRPr="00434A52">
              <w:rPr>
                <w:rFonts w:cs="Calibri"/>
                <w:lang w:val="pl-PL"/>
              </w:rPr>
              <w:t>mesto</w:t>
            </w:r>
            <w:proofErr w:type="spellEnd"/>
            <w:r w:rsidRPr="00434A52">
              <w:rPr>
                <w:rFonts w:cs="Calibri"/>
                <w:lang w:val="pl-PL"/>
              </w:rPr>
              <w:t>, Słowenia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7FAA" w14:textId="30C46082" w:rsidR="0048796F" w:rsidRPr="0048796F" w:rsidRDefault="0048796F" w:rsidP="0048796F">
            <w:pPr>
              <w:widowControl w:val="0"/>
              <w:rPr>
                <w:rFonts w:cs="Calibri"/>
                <w:lang w:val="pl-PL"/>
              </w:rPr>
            </w:pPr>
            <w:r w:rsidRPr="0048796F">
              <w:rPr>
                <w:rFonts w:cs="Calibri"/>
                <w:lang w:val="pl-PL"/>
              </w:rPr>
              <w:t xml:space="preserve">KRKA-POLSKA Sp. </w:t>
            </w:r>
            <w:r>
              <w:rPr>
                <w:rFonts w:cs="Calibri"/>
                <w:lang w:val="pl-PL"/>
              </w:rPr>
              <w:t>z</w:t>
            </w:r>
            <w:r w:rsidRPr="0048796F">
              <w:rPr>
                <w:rFonts w:cs="Calibri"/>
                <w:lang w:val="pl-PL"/>
              </w:rPr>
              <w:t xml:space="preserve"> o.o.</w:t>
            </w:r>
          </w:p>
          <w:p w14:paraId="601E96E4" w14:textId="2A9E26CF" w:rsidR="0048796F" w:rsidRPr="0048796F" w:rsidRDefault="006A3B9A" w:rsidP="0048796F">
            <w:pPr>
              <w:widowControl w:val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u</w:t>
            </w:r>
            <w:r w:rsidR="0048796F" w:rsidRPr="0048796F">
              <w:rPr>
                <w:rFonts w:cs="Calibri"/>
                <w:lang w:val="pl-PL"/>
              </w:rPr>
              <w:t xml:space="preserve">l. Równoległa 5 </w:t>
            </w:r>
          </w:p>
          <w:p w14:paraId="108F85AB" w14:textId="27992DDF" w:rsidR="0048796F" w:rsidRDefault="0048796F" w:rsidP="0048796F">
            <w:pPr>
              <w:widowControl w:val="0"/>
              <w:rPr>
                <w:rFonts w:cs="Calibri"/>
                <w:lang w:val="pl-PL"/>
              </w:rPr>
            </w:pPr>
            <w:r w:rsidRPr="0048796F">
              <w:rPr>
                <w:rFonts w:cs="Calibri"/>
                <w:lang w:val="pl-PL"/>
              </w:rPr>
              <w:t>02-235 Warszawa</w:t>
            </w:r>
          </w:p>
          <w:p w14:paraId="3A8182A7" w14:textId="3CD780BB" w:rsidR="00A755DC" w:rsidRPr="00434A52" w:rsidRDefault="00A755DC" w:rsidP="0048796F">
            <w:pPr>
              <w:widowControl w:val="0"/>
              <w:rPr>
                <w:rFonts w:cs="Calibri"/>
                <w:u w:val="single"/>
                <w:lang w:val="pl-PL"/>
              </w:rPr>
            </w:pPr>
            <w:r w:rsidRPr="00495768">
              <w:rPr>
                <w:rFonts w:cs="Calibri"/>
                <w:u w:val="single"/>
                <w:lang w:val="pl-PL"/>
              </w:rPr>
              <w:t>Zgłaszanie działań niepożądanych:</w:t>
            </w:r>
          </w:p>
          <w:p w14:paraId="6D07A69E" w14:textId="4D4E4820" w:rsidR="0048796F" w:rsidRPr="00434A52" w:rsidRDefault="0048796F" w:rsidP="0048796F">
            <w:pPr>
              <w:widowControl w:val="0"/>
              <w:rPr>
                <w:rFonts w:cs="Calibri"/>
              </w:rPr>
            </w:pPr>
            <w:r w:rsidRPr="00434A52">
              <w:rPr>
                <w:rFonts w:cs="Calibri"/>
              </w:rPr>
              <w:t>e-mail: info.pl@krka.biz</w:t>
            </w:r>
          </w:p>
          <w:p w14:paraId="598FEFC3" w14:textId="536EB6CB" w:rsidR="0048796F" w:rsidRPr="0048796F" w:rsidRDefault="00A755DC" w:rsidP="0048796F">
            <w:pPr>
              <w:widowControl w:val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t</w:t>
            </w:r>
            <w:r w:rsidR="0048796F" w:rsidRPr="0048796F">
              <w:rPr>
                <w:rFonts w:cs="Calibri"/>
                <w:lang w:val="pl-PL"/>
              </w:rPr>
              <w:t>el. +48 22 573 75 00</w:t>
            </w:r>
          </w:p>
          <w:p w14:paraId="239BEB78" w14:textId="56F2E991" w:rsidR="0048796F" w:rsidRDefault="0048796F" w:rsidP="0048796F">
            <w:pPr>
              <w:widowControl w:val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f</w:t>
            </w:r>
            <w:r w:rsidRPr="0048796F">
              <w:rPr>
                <w:rFonts w:cs="Calibri"/>
                <w:lang w:val="pl-PL"/>
              </w:rPr>
              <w:t>a</w:t>
            </w:r>
            <w:r>
              <w:rPr>
                <w:rFonts w:cs="Calibri"/>
                <w:lang w:val="pl-PL"/>
              </w:rPr>
              <w:t>ks</w:t>
            </w:r>
            <w:r w:rsidRPr="0048796F">
              <w:rPr>
                <w:rFonts w:cs="Calibri"/>
                <w:lang w:val="pl-PL"/>
              </w:rPr>
              <w:t xml:space="preserve"> +48 22 573 75 64</w:t>
            </w:r>
          </w:p>
          <w:p w14:paraId="2F8A2315" w14:textId="78B71B36" w:rsidR="0048796F" w:rsidRPr="0048796F" w:rsidRDefault="0048796F" w:rsidP="0048796F">
            <w:pPr>
              <w:widowControl w:val="0"/>
              <w:rPr>
                <w:rFonts w:cs="Calibri"/>
                <w:lang w:val="pl-PL"/>
              </w:rPr>
            </w:pPr>
          </w:p>
        </w:tc>
      </w:tr>
    </w:tbl>
    <w:p w14:paraId="01BEC464" w14:textId="77777777" w:rsidR="00C47086" w:rsidRPr="00434A52" w:rsidRDefault="00C47086" w:rsidP="00C47086">
      <w:pPr>
        <w:jc w:val="both"/>
        <w:rPr>
          <w:rFonts w:cs="Calibri"/>
        </w:rPr>
      </w:pPr>
    </w:p>
    <w:p w14:paraId="70B1D17E" w14:textId="77777777" w:rsidR="00D20396" w:rsidRPr="00E4651F" w:rsidRDefault="00D20396" w:rsidP="00D20396">
      <w:pPr>
        <w:spacing w:after="140" w:line="280" w:lineRule="atLeast"/>
        <w:jc w:val="center"/>
        <w:rPr>
          <w:rFonts w:eastAsia="Verdana" w:cstheme="minorHAnsi"/>
          <w:b/>
          <w:i/>
          <w:lang w:val="pl-PL" w:eastAsia="en-GB"/>
        </w:rPr>
      </w:pPr>
      <w:r w:rsidRPr="00E4651F">
        <w:rPr>
          <w:rFonts w:cstheme="minorHAnsi"/>
          <w:i/>
          <w:iCs/>
          <w:lang w:val="pl-PL"/>
        </w:rPr>
        <w:t xml:space="preserve">Komunikat został opracowany we współpracy </w:t>
      </w:r>
      <w:proofErr w:type="spellStart"/>
      <w:r w:rsidRPr="00E4651F">
        <w:rPr>
          <w:rFonts w:cstheme="minorHAnsi"/>
          <w:i/>
          <w:iCs/>
          <w:lang w:val="pl-PL"/>
        </w:rPr>
        <w:t>URPLWMiPB</w:t>
      </w:r>
      <w:proofErr w:type="spellEnd"/>
      <w:r w:rsidRPr="00E4651F">
        <w:rPr>
          <w:rFonts w:cstheme="minorHAnsi"/>
          <w:i/>
          <w:iCs/>
          <w:lang w:val="pl-PL"/>
        </w:rPr>
        <w:t xml:space="preserve"> z przedstawicielami ww. podmiotów odpowiedzialnych.</w:t>
      </w:r>
    </w:p>
    <w:p w14:paraId="194E8774" w14:textId="77777777" w:rsidR="00D20396" w:rsidRPr="00495768" w:rsidRDefault="00D20396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50B54E21" w14:textId="77777777" w:rsidR="003A096B" w:rsidRDefault="003A096B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71CF948D" w14:textId="77777777" w:rsidR="00330AF7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4382CE0C" w14:textId="77777777" w:rsidR="00330AF7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0C2780B3" w14:textId="77777777" w:rsidR="00330AF7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6280FA70" w14:textId="77777777" w:rsidR="00330AF7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0914895C" w14:textId="77777777" w:rsidR="00330AF7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73E64CC2" w14:textId="77777777" w:rsidR="00330AF7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651BB379" w14:textId="77777777" w:rsidR="00330AF7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72C112AE" w14:textId="77777777" w:rsidR="00330AF7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73F6825C" w14:textId="77777777" w:rsidR="00330AF7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52F40C04" w14:textId="77777777" w:rsidR="00330AF7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777DD462" w14:textId="77777777" w:rsidR="00330AF7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3149B920" w14:textId="77777777" w:rsidR="00330AF7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744FCE79" w14:textId="77777777" w:rsidR="00330AF7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34B0ED98" w14:textId="77777777" w:rsidR="00330AF7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0297C0F5" w14:textId="77777777" w:rsidR="00330AF7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12D2173A" w14:textId="77777777" w:rsidR="00330AF7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20D1C399" w14:textId="77777777" w:rsidR="00330AF7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2A497F8D" w14:textId="77777777" w:rsidR="00330AF7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60AF1C30" w14:textId="77777777" w:rsidR="00330AF7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38D940B8" w14:textId="77777777" w:rsidR="00330AF7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0194A02D" w14:textId="77777777" w:rsidR="00330AF7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3DD17CD8" w14:textId="77777777" w:rsidR="00330AF7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28AF418A" w14:textId="77777777" w:rsidR="00330AF7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66720C9E" w14:textId="77777777" w:rsidR="00330AF7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405B0029" w14:textId="77777777" w:rsidR="00330AF7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7E21FAE9" w14:textId="77777777" w:rsidR="00330AF7" w:rsidRPr="00495768" w:rsidRDefault="00330AF7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</w:p>
    <w:p w14:paraId="212DE9B5" w14:textId="4CA77A13" w:rsidR="00F34482" w:rsidRDefault="00495768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/>
        </w:rPr>
      </w:pPr>
      <w:r>
        <w:rPr>
          <w:rFonts w:eastAsia="Verdana"/>
          <w:b/>
          <w:i/>
          <w:sz w:val="22"/>
          <w:szCs w:val="22"/>
          <w:u w:val="single"/>
          <w:lang w:val="pl-PL"/>
        </w:rPr>
        <w:t>Załączniki</w:t>
      </w:r>
      <w:r w:rsidR="00247DC8" w:rsidRPr="004D0CD1">
        <w:rPr>
          <w:rFonts w:eastAsia="Verdana"/>
          <w:b/>
          <w:i/>
          <w:sz w:val="22"/>
          <w:szCs w:val="22"/>
          <w:u w:val="single"/>
          <w:lang w:val="pl-PL"/>
        </w:rPr>
        <w:t xml:space="preserve"> </w:t>
      </w:r>
    </w:p>
    <w:p w14:paraId="561D670C" w14:textId="77777777" w:rsidR="00495768" w:rsidRPr="004D0CD1" w:rsidRDefault="00495768" w:rsidP="00F34482">
      <w:pPr>
        <w:autoSpaceDE w:val="0"/>
        <w:autoSpaceDN w:val="0"/>
        <w:adjustRightInd w:val="0"/>
        <w:rPr>
          <w:rFonts w:eastAsia="Verdana"/>
          <w:b/>
          <w:i/>
          <w:sz w:val="22"/>
          <w:szCs w:val="22"/>
          <w:u w:val="single"/>
          <w:lang w:val="pl-PL" w:eastAsia="en-GB"/>
        </w:rPr>
      </w:pPr>
    </w:p>
    <w:bookmarkEnd w:id="3"/>
    <w:p w14:paraId="796B88EF" w14:textId="6D18D45B" w:rsidR="00F34482" w:rsidRPr="00BD06A8" w:rsidRDefault="00495768" w:rsidP="00BD06A8">
      <w:pPr>
        <w:rPr>
          <w:lang w:val="pl-PL"/>
        </w:rPr>
      </w:pPr>
      <w:r>
        <w:rPr>
          <w:lang w:val="pl-PL"/>
        </w:rPr>
        <w:t xml:space="preserve">Informacje dostępne na stronie Europejskiej Agencji Leków: </w:t>
      </w:r>
      <w:hyperlink r:id="rId8" w:history="1">
        <w:r w:rsidRPr="00F67F9B">
          <w:rPr>
            <w:rStyle w:val="Hipercze"/>
            <w:lang w:val="pl-PL"/>
          </w:rPr>
          <w:t>https://www.ema.europa.eu/en/medicines/human/referrals/fluorouracil-fluorouracil-related-substances-capecitabine-tegafur-flucytosine-containing-medicinal</w:t>
        </w:r>
      </w:hyperlink>
    </w:p>
    <w:sectPr w:rsidR="00F34482" w:rsidRPr="00BD06A8" w:rsidSect="00B60E9D">
      <w:pgSz w:w="11906" w:h="16838" w:code="9"/>
      <w:pgMar w:top="1418" w:right="1247" w:bottom="1418" w:left="1247" w:header="284" w:footer="68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6043A11"/>
    <w:multiLevelType w:val="hybridMultilevel"/>
    <w:tmpl w:val="967A37EA"/>
    <w:lvl w:ilvl="0" w:tplc="B3C2B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35A43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505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2C4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CD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AA3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C0F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22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50BC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6" w15:restartNumberingAfterBreak="0">
    <w:nsid w:val="2EBF17EF"/>
    <w:multiLevelType w:val="hybridMultilevel"/>
    <w:tmpl w:val="B27E2196"/>
    <w:lvl w:ilvl="0" w:tplc="8232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4A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0E2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64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2E4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4CE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243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EE1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61F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F34482"/>
    <w:rsid w:val="00026ED9"/>
    <w:rsid w:val="00031740"/>
    <w:rsid w:val="00057352"/>
    <w:rsid w:val="0007205C"/>
    <w:rsid w:val="000763C7"/>
    <w:rsid w:val="000B2078"/>
    <w:rsid w:val="000C5FAB"/>
    <w:rsid w:val="000D00B5"/>
    <w:rsid w:val="000E1D89"/>
    <w:rsid w:val="000E5783"/>
    <w:rsid w:val="001024C2"/>
    <w:rsid w:val="00104B3A"/>
    <w:rsid w:val="00117BB4"/>
    <w:rsid w:val="00157037"/>
    <w:rsid w:val="00195347"/>
    <w:rsid w:val="001B2BDF"/>
    <w:rsid w:val="001E646A"/>
    <w:rsid w:val="001E77DB"/>
    <w:rsid w:val="00220F79"/>
    <w:rsid w:val="00247DC8"/>
    <w:rsid w:val="00256A7A"/>
    <w:rsid w:val="002710B4"/>
    <w:rsid w:val="002B0FF3"/>
    <w:rsid w:val="002B1D5F"/>
    <w:rsid w:val="002E6558"/>
    <w:rsid w:val="002F265E"/>
    <w:rsid w:val="002F4DAF"/>
    <w:rsid w:val="003036E1"/>
    <w:rsid w:val="00330AF7"/>
    <w:rsid w:val="0033636B"/>
    <w:rsid w:val="0034758B"/>
    <w:rsid w:val="003572BA"/>
    <w:rsid w:val="00385A94"/>
    <w:rsid w:val="0039135F"/>
    <w:rsid w:val="003A096B"/>
    <w:rsid w:val="003F028F"/>
    <w:rsid w:val="00403269"/>
    <w:rsid w:val="004261FE"/>
    <w:rsid w:val="00427FA0"/>
    <w:rsid w:val="00434A52"/>
    <w:rsid w:val="00436698"/>
    <w:rsid w:val="00451B8F"/>
    <w:rsid w:val="00456D98"/>
    <w:rsid w:val="0045723D"/>
    <w:rsid w:val="004714FD"/>
    <w:rsid w:val="00483630"/>
    <w:rsid w:val="0048796F"/>
    <w:rsid w:val="00495768"/>
    <w:rsid w:val="00497CD0"/>
    <w:rsid w:val="004B0E0E"/>
    <w:rsid w:val="004D0675"/>
    <w:rsid w:val="004D0CD1"/>
    <w:rsid w:val="0050437C"/>
    <w:rsid w:val="00513794"/>
    <w:rsid w:val="00540B11"/>
    <w:rsid w:val="00552AA4"/>
    <w:rsid w:val="00584E1C"/>
    <w:rsid w:val="0059153C"/>
    <w:rsid w:val="005A5D3B"/>
    <w:rsid w:val="00624034"/>
    <w:rsid w:val="006367E2"/>
    <w:rsid w:val="00645963"/>
    <w:rsid w:val="00647DF9"/>
    <w:rsid w:val="006505E1"/>
    <w:rsid w:val="00651460"/>
    <w:rsid w:val="00687447"/>
    <w:rsid w:val="006A3B9A"/>
    <w:rsid w:val="006C2D3B"/>
    <w:rsid w:val="00753A91"/>
    <w:rsid w:val="007758A1"/>
    <w:rsid w:val="00782C9D"/>
    <w:rsid w:val="007B4619"/>
    <w:rsid w:val="007E3D9B"/>
    <w:rsid w:val="0080301F"/>
    <w:rsid w:val="0083325D"/>
    <w:rsid w:val="00833637"/>
    <w:rsid w:val="00835B60"/>
    <w:rsid w:val="008426B7"/>
    <w:rsid w:val="00871428"/>
    <w:rsid w:val="008B0F14"/>
    <w:rsid w:val="008E7D57"/>
    <w:rsid w:val="009568E9"/>
    <w:rsid w:val="0096654F"/>
    <w:rsid w:val="00976E43"/>
    <w:rsid w:val="00992752"/>
    <w:rsid w:val="009A483E"/>
    <w:rsid w:val="009C3950"/>
    <w:rsid w:val="009F1E95"/>
    <w:rsid w:val="00A0122E"/>
    <w:rsid w:val="00A22DD5"/>
    <w:rsid w:val="00A37977"/>
    <w:rsid w:val="00A755DC"/>
    <w:rsid w:val="00AA77C4"/>
    <w:rsid w:val="00AB2A36"/>
    <w:rsid w:val="00AB5ED6"/>
    <w:rsid w:val="00AC2E8D"/>
    <w:rsid w:val="00B37D78"/>
    <w:rsid w:val="00B60E9D"/>
    <w:rsid w:val="00B641CD"/>
    <w:rsid w:val="00B651CE"/>
    <w:rsid w:val="00B81056"/>
    <w:rsid w:val="00BB2658"/>
    <w:rsid w:val="00BD06A8"/>
    <w:rsid w:val="00BD06E0"/>
    <w:rsid w:val="00C023F0"/>
    <w:rsid w:val="00C112C7"/>
    <w:rsid w:val="00C47086"/>
    <w:rsid w:val="00C571B2"/>
    <w:rsid w:val="00C66F72"/>
    <w:rsid w:val="00C97439"/>
    <w:rsid w:val="00CA3EBA"/>
    <w:rsid w:val="00CA4B5A"/>
    <w:rsid w:val="00CD2D5D"/>
    <w:rsid w:val="00CD425B"/>
    <w:rsid w:val="00CE1254"/>
    <w:rsid w:val="00CE5111"/>
    <w:rsid w:val="00D20396"/>
    <w:rsid w:val="00D224D9"/>
    <w:rsid w:val="00D35A58"/>
    <w:rsid w:val="00D63D4A"/>
    <w:rsid w:val="00D808D0"/>
    <w:rsid w:val="00DD7C6F"/>
    <w:rsid w:val="00DF1A1C"/>
    <w:rsid w:val="00E14CC8"/>
    <w:rsid w:val="00E33FB4"/>
    <w:rsid w:val="00E36A82"/>
    <w:rsid w:val="00E45922"/>
    <w:rsid w:val="00E558DA"/>
    <w:rsid w:val="00EA7407"/>
    <w:rsid w:val="00EE2395"/>
    <w:rsid w:val="00F34482"/>
    <w:rsid w:val="00F36D74"/>
    <w:rsid w:val="00F461B9"/>
    <w:rsid w:val="00F97C55"/>
    <w:rsid w:val="00F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9B0B75"/>
  <w15:docId w15:val="{76C84C1E-B87E-4D49-B052-47706D42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482"/>
    <w:rPr>
      <w:rFonts w:ascii="Verdana" w:eastAsia="SimSun" w:hAnsi="Verdana" w:cs="Verdana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105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rsid w:val="00B81056"/>
    <w:rPr>
      <w:sz w:val="22"/>
    </w:rPr>
  </w:style>
  <w:style w:type="paragraph" w:customStyle="1" w:styleId="MemoHeaderStyle">
    <w:name w:val="MemoHeaderStyle"/>
    <w:basedOn w:val="Normalny"/>
    <w:next w:val="Normalny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Normalny"/>
    <w:link w:val="BodytextAgencyChar"/>
    <w:qFormat/>
    <w:rsid w:val="00D35A58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Bezlisty"/>
    <w:rsid w:val="00D35A58"/>
    <w:pPr>
      <w:numPr>
        <w:numId w:val="3"/>
      </w:numPr>
    </w:pPr>
  </w:style>
  <w:style w:type="paragraph" w:customStyle="1" w:styleId="DisclaimerAgency">
    <w:name w:val="Disclaimer (Agency)"/>
    <w:basedOn w:val="Normalny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customStyle="1" w:styleId="DocsubtitleAgency">
    <w:name w:val="Doc subtitle (Agency)"/>
    <w:basedOn w:val="Normalny"/>
    <w:next w:val="BodytextAgency"/>
    <w:qFormat/>
    <w:rsid w:val="00D35A58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ny"/>
    <w:next w:val="DocsubtitleAgency"/>
    <w:qFormat/>
    <w:rsid w:val="00D35A58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ny"/>
    <w:next w:val="BodytextAgency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ny"/>
    <w:semiHidden/>
    <w:rsid w:val="00D35A58"/>
    <w:rPr>
      <w:rFonts w:eastAsia="Verdana"/>
      <w:sz w:val="15"/>
    </w:rPr>
  </w:style>
  <w:style w:type="paragraph" w:customStyle="1" w:styleId="FigureAgency">
    <w:name w:val="Figure (Agency)"/>
    <w:basedOn w:val="Normalny"/>
    <w:next w:val="BodytextAgency"/>
    <w:semiHidden/>
    <w:rsid w:val="00D35A58"/>
    <w:pPr>
      <w:jc w:val="center"/>
    </w:pPr>
  </w:style>
  <w:style w:type="paragraph" w:customStyle="1" w:styleId="FigureheadingAgency">
    <w:name w:val="Figure heading (Agency)"/>
    <w:basedOn w:val="Normalny"/>
    <w:next w:val="FigureAgency"/>
    <w:semiHidden/>
    <w:rsid w:val="00D35A58"/>
    <w:pPr>
      <w:keepNext/>
      <w:numPr>
        <w:numId w:val="4"/>
      </w:numPr>
      <w:spacing w:before="240" w:after="120"/>
    </w:pPr>
  </w:style>
  <w:style w:type="paragraph" w:customStyle="1" w:styleId="FooterAgency">
    <w:name w:val="Footer (Agency)"/>
    <w:basedOn w:val="Normalny"/>
    <w:link w:val="FooterAgencyCharChar"/>
    <w:rsid w:val="00B81056"/>
    <w:rPr>
      <w:rFonts w:eastAsia="Verdana"/>
      <w:color w:val="6D6F71"/>
      <w:sz w:val="14"/>
      <w:szCs w:val="14"/>
    </w:rPr>
  </w:style>
  <w:style w:type="character" w:customStyle="1" w:styleId="FooterAgencyCharChar">
    <w:name w:val="Footer (Agency) Char Char"/>
    <w:link w:val="FooterAgency"/>
    <w:rsid w:val="00B81056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ny"/>
    <w:link w:val="FooterblueAgencyCharChar"/>
    <w:semiHidden/>
    <w:rsid w:val="00D35A58"/>
    <w:rPr>
      <w:rFonts w:eastAsia="Verdana"/>
      <w:b/>
      <w:color w:val="003399"/>
      <w:sz w:val="13"/>
      <w:szCs w:val="14"/>
    </w:rPr>
  </w:style>
  <w:style w:type="character" w:customStyle="1" w:styleId="FooterblueAgencyCharChar">
    <w:name w:val="Footer blue (Agency) Char Char"/>
    <w:link w:val="FooterblueAgency"/>
    <w:semiHidden/>
    <w:rsid w:val="00D35A58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Standardowy"/>
    <w:semiHidden/>
    <w:rsid w:val="00D35A58"/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Times" w:hAnsi="Times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ny"/>
    <w:semiHidden/>
    <w:rsid w:val="00D35A58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Normalny"/>
    <w:next w:val="BodytextAgency"/>
    <w:qFormat/>
    <w:rsid w:val="00D35A58"/>
    <w:pPr>
      <w:keepNext/>
      <w:numPr>
        <w:numId w:val="13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ny"/>
    <w:next w:val="BodytextAgency"/>
    <w:qFormat/>
    <w:rsid w:val="00D35A58"/>
    <w:pPr>
      <w:keepNext/>
      <w:numPr>
        <w:ilvl w:val="1"/>
        <w:numId w:val="13"/>
      </w:numPr>
      <w:spacing w:before="280" w:after="220"/>
      <w:outlineLvl w:val="1"/>
    </w:pPr>
    <w:rPr>
      <w:rFonts w:eastAsia="Verdana" w:cs="Arial"/>
      <w:b/>
      <w:bCs/>
      <w:i/>
      <w:kern w:val="32"/>
      <w:szCs w:val="22"/>
    </w:rPr>
  </w:style>
  <w:style w:type="paragraph" w:customStyle="1" w:styleId="Heading3Agency">
    <w:name w:val="Heading 3 (Agency)"/>
    <w:basedOn w:val="Normalny"/>
    <w:next w:val="BodytextAgency"/>
    <w:qFormat/>
    <w:rsid w:val="00D35A58"/>
    <w:pPr>
      <w:keepNext/>
      <w:numPr>
        <w:ilvl w:val="2"/>
        <w:numId w:val="13"/>
      </w:numPr>
      <w:spacing w:before="280" w:after="220"/>
      <w:outlineLvl w:val="2"/>
    </w:pPr>
    <w:rPr>
      <w:rFonts w:eastAsia="Verdana" w:cs="Arial"/>
      <w:b/>
      <w:bCs/>
      <w:kern w:val="3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ny"/>
    <w:next w:val="BodytextAgency"/>
    <w:qFormat/>
    <w:rsid w:val="00D35A58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Normalny"/>
    <w:next w:val="BodytextAgency"/>
    <w:qFormat/>
    <w:rsid w:val="00D35A58"/>
    <w:pPr>
      <w:keepNext/>
      <w:spacing w:before="280" w:after="220"/>
      <w:outlineLvl w:val="1"/>
    </w:pPr>
    <w:rPr>
      <w:rFonts w:eastAsia="Verdana" w:cs="Arial"/>
      <w:b/>
      <w:bCs/>
      <w:i/>
      <w:kern w:val="3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D35A58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ny"/>
    <w:next w:val="BodytextAgency"/>
    <w:qFormat/>
    <w:rsid w:val="00D35A58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Bezlisty"/>
    <w:rsid w:val="00D35A58"/>
    <w:pPr>
      <w:numPr>
        <w:numId w:val="14"/>
      </w:numPr>
    </w:pPr>
  </w:style>
  <w:style w:type="paragraph" w:customStyle="1" w:styleId="PagenumberAgency">
    <w:name w:val="Page number (Agency)"/>
    <w:basedOn w:val="Normalny"/>
    <w:next w:val="Normalny"/>
    <w:link w:val="PagenumberAgencyCharChar"/>
    <w:semiHidden/>
    <w:rsid w:val="00D35A58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link w:val="PagenumberAgency"/>
    <w:semiHidden/>
    <w:rsid w:val="00D35A58"/>
    <w:rPr>
      <w:rFonts w:ascii="Times New Roman" w:hAnsi="Times New Roman"/>
    </w:rPr>
  </w:style>
  <w:style w:type="paragraph" w:customStyle="1" w:styleId="RefAgency">
    <w:name w:val="Ref. (Agency)"/>
    <w:basedOn w:val="Normalny"/>
    <w:semiHidden/>
    <w:rsid w:val="00D35A58"/>
    <w:rPr>
      <w:rFonts w:eastAsia="Times New Roman"/>
      <w:sz w:val="17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Standardowy"/>
    <w:semiHidden/>
    <w:rsid w:val="00B37D78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" w:hAnsi="Times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Standardowy"/>
    <w:semiHidden/>
    <w:rsid w:val="00D35A58"/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ny"/>
    <w:next w:val="BodytextAgency"/>
    <w:semiHidden/>
    <w:rsid w:val="00D35A58"/>
    <w:pPr>
      <w:keepNext/>
      <w:numPr>
        <w:numId w:val="15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ny"/>
    <w:semiHidden/>
    <w:rsid w:val="00D35A58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Stopka">
    <w:name w:val="footer"/>
    <w:basedOn w:val="Normalny"/>
    <w:link w:val="StopkaZnak"/>
    <w:rsid w:val="00B81056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rsid w:val="00B81056"/>
    <w:rPr>
      <w:sz w:val="22"/>
    </w:rPr>
  </w:style>
  <w:style w:type="character" w:customStyle="1" w:styleId="BodytextAgencyChar">
    <w:name w:val="Body text (Agency) Char"/>
    <w:link w:val="BodytextAgency"/>
    <w:qFormat/>
    <w:locked/>
    <w:rsid w:val="00F34482"/>
    <w:rPr>
      <w:rFonts w:ascii="Verdana" w:eastAsia="Verdana" w:hAnsi="Verdana" w:cs="Verdana"/>
      <w:sz w:val="18"/>
      <w:szCs w:val="18"/>
    </w:rPr>
  </w:style>
  <w:style w:type="paragraph" w:styleId="Akapitzlist">
    <w:name w:val="List Paragraph"/>
    <w:basedOn w:val="Normalny"/>
    <w:uiPriority w:val="34"/>
    <w:qFormat/>
    <w:rsid w:val="00F34482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CD2D5D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0E1D8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rsid w:val="000E1D89"/>
    <w:rPr>
      <w:rFonts w:ascii="Segoe UI" w:eastAsia="SimSu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59153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915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9153C"/>
    <w:rPr>
      <w:rFonts w:ascii="Verdana" w:eastAsia="SimSun" w:hAnsi="Verdana" w:cs="Verdan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91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9153C"/>
    <w:rPr>
      <w:rFonts w:ascii="Verdana" w:eastAsia="SimSun" w:hAnsi="Verdana" w:cs="Verdana"/>
      <w:b/>
      <w:bCs/>
    </w:rPr>
  </w:style>
  <w:style w:type="character" w:styleId="Hipercze">
    <w:name w:val="Hyperlink"/>
    <w:basedOn w:val="Domylnaczcionkaakapitu"/>
    <w:uiPriority w:val="99"/>
    <w:unhideWhenUsed/>
    <w:rsid w:val="00C4708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08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rsid w:val="00D20396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0396"/>
    <w:rPr>
      <w:rFonts w:ascii="Calibri" w:eastAsia="Times New Roman" w:hAnsi="Calibri"/>
    </w:rPr>
  </w:style>
  <w:style w:type="paragraph" w:styleId="Poprawka">
    <w:name w:val="Revision"/>
    <w:hidden/>
    <w:uiPriority w:val="99"/>
    <w:semiHidden/>
    <w:rsid w:val="002F4DAF"/>
    <w:rPr>
      <w:rFonts w:ascii="Verdana" w:eastAsia="SimSun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medicines/human/referrals/fluorouracil-fluorouracil-related-substances-capecitabine-tegafur-flucytosine-containing-medicin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91ad30-9ade-4f0c-b78e-cf30469879ae"/>
    <Etap xmlns="c705bd82-a326-406a-861c-c4644fab8d2f" xsi:nil="true"/>
    <IconOverlay xmlns="http://schemas.microsoft.com/sharepoint/v4" xsi:nil="true"/>
    <data_x0020_dystrybucji xmlns="c705bd82-a326-406a-861c-c4644fab8d2f" xsi:nil="true"/>
    <Produkt xmlns="c705bd82-a326-406a-861c-c4644fab8d2f" xsi:nil="true"/>
    <TaxKeywordTaxHTField xmlns="b7aeaaf3-b9c3-42fe-b260-2c7abff5fecc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2030-11-30T23:00:00+00:00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8EB081882C0449CC145A6A5BCEFC5" ma:contentTypeVersion="16" ma:contentTypeDescription="Create a new document." ma:contentTypeScope="" ma:versionID="1b7cbd60c1d6414b9cac1125d21a4f1b">
  <xsd:schema xmlns:xsd="http://www.w3.org/2001/XMLSchema" xmlns:xs="http://www.w3.org/2001/XMLSchema" xmlns:p="http://schemas.microsoft.com/office/2006/metadata/properties" xmlns:ns1="http://schemas.microsoft.com/sharepoint/v3" xmlns:ns2="b7aeaaf3-b9c3-42fe-b260-2c7abff5fecc" xmlns:ns3="f191ad30-9ade-4f0c-b78e-cf30469879ae" xmlns:ns4="c705bd82-a326-406a-861c-c4644fab8d2f" xmlns:ns5="http://schemas.microsoft.com/sharepoint/v4" targetNamespace="http://schemas.microsoft.com/office/2006/metadata/properties" ma:root="true" ma:fieldsID="d4dff0d34b0905796ca47eca833255b9" ns1:_="" ns2:_="" ns3:_="" ns4:_="" ns5:_="">
    <xsd:import namespace="http://schemas.microsoft.com/sharepoint/v3"/>
    <xsd:import namespace="b7aeaaf3-b9c3-42fe-b260-2c7abff5fecc"/>
    <xsd:import namespace="f191ad30-9ade-4f0c-b78e-cf30469879ae"/>
    <xsd:import namespace="c705bd82-a326-406a-861c-c4644fab8d2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1:_vti_ItemDeclaredRecord" minOccurs="0"/>
                <xsd:element ref="ns4:Produkt" minOccurs="0"/>
                <xsd:element ref="ns5:IconOverlay" minOccurs="0"/>
                <xsd:element ref="ns1:_vti_ItemHoldRecordStatus" minOccurs="0"/>
                <xsd:element ref="ns4:data_x0020_dystrybucji" minOccurs="0"/>
                <xsd:element ref="ns4:E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eaaf3-b9c3-42fe-b260-2c7abff5fec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ad30-9ade-4f0c-b78e-cf30469879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08ae2be-db8d-49b8-a185-fcfaf0602ef8}" ma:internalName="TaxCatchAll" ma:showField="CatchAllData" ma:web="b7aeaaf3-b9c3-42fe-b260-2c7abff5fe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5bd82-a326-406a-861c-c4644fab8d2f" elementFormDefault="qualified">
    <xsd:import namespace="http://schemas.microsoft.com/office/2006/documentManagement/types"/>
    <xsd:import namespace="http://schemas.microsoft.com/office/infopath/2007/PartnerControls"/>
    <xsd:element name="Produkt" ma:index="15" nillable="true" ma:displayName="Produkt" ma:format="Dropdown" ma:internalName="Produkt" ma:readOnly="false">
      <xsd:simpleType>
        <xsd:restriction base="dms:Choice">
          <xsd:enumeration value="Anexate"/>
          <xsd:enumeration value="Avastin"/>
          <xsd:enumeration value="Bactrim"/>
          <xsd:enumeration value="Bondronat"/>
          <xsd:enumeration value="Bonviva"/>
          <xsd:enumeration value="Cellcept"/>
          <xsd:enumeration value="Copegus"/>
          <xsd:enumeration value="Cotellic"/>
          <xsd:enumeration value="Cymevene"/>
          <xsd:enumeration value="Dilatrend"/>
          <xsd:enumeration value="Dormicum"/>
          <xsd:enumeration value="Esbriet"/>
          <xsd:enumeration value="Erivedge"/>
          <xsd:enumeration value="Fuzeon"/>
          <xsd:enumeration value="Gazyvaro"/>
          <xsd:enumeration value="Herceptin"/>
          <xsd:enumeration value="Inhibace"/>
          <xsd:enumeration value="Inhibace Plus"/>
          <xsd:enumeration value="Invirase"/>
          <xsd:enumeration value="Kadcyla"/>
          <xsd:enumeration value="Lexotan"/>
          <xsd:enumeration value="MabThera"/>
          <xsd:enumeration value="Madopar"/>
          <xsd:enumeration value="Mircera"/>
          <xsd:enumeration value="NeoRecormon"/>
          <xsd:enumeration value="Pegasys"/>
          <xsd:enumeration value="Perjeta"/>
          <xsd:enumeration value="Pulmozyme"/>
          <xsd:enumeration value="RoActemra"/>
          <xsd:enumeration value="Roferon-A"/>
          <xsd:enumeration value="Tamiflu"/>
          <xsd:enumeration value="Tarceva"/>
          <xsd:enumeration value="Valcyte"/>
          <xsd:enumeration value="Xeloda"/>
          <xsd:enumeration value="Xenical"/>
          <xsd:enumeration value="Zelboraf"/>
        </xsd:restriction>
      </xsd:simpleType>
    </xsd:element>
    <xsd:element name="data_x0020_dystrybucji" ma:index="18" nillable="true" ma:displayName="data dystrybucji" ma:format="DateOnly" ma:internalName="data_x0020_dystrybucji">
      <xsd:simpleType>
        <xsd:restriction base="dms:DateTime"/>
      </xsd:simpleType>
    </xsd:element>
    <xsd:element name="Etap" ma:index="19" nillable="true" ma:displayName="Etap" ma:format="Dropdown" ma:internalName="Etap" ma:readOnly="false">
      <xsd:simpleType>
        <xsd:restriction base="dms:Choice">
          <xsd:enumeration value="1_HQ_initial"/>
          <xsd:enumeration value="2_PL_office"/>
          <xsd:enumeration value="3_URPL_initial"/>
          <xsd:enumeration value="4_URPL_discussion"/>
          <xsd:enumeration value="5_HQ_discussion"/>
          <xsd:enumeration value="6_URPL_final"/>
          <xsd:enumeration value="7_HQ_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3A3D3-4B3C-4BEB-90EF-3E28DC0AC992}">
  <ds:schemaRefs>
    <ds:schemaRef ds:uri="http://schemas.microsoft.com/office/2006/metadata/properties"/>
    <ds:schemaRef ds:uri="http://schemas.microsoft.com/office/infopath/2007/PartnerControls"/>
    <ds:schemaRef ds:uri="f191ad30-9ade-4f0c-b78e-cf30469879ae"/>
    <ds:schemaRef ds:uri="c705bd82-a326-406a-861c-c4644fab8d2f"/>
    <ds:schemaRef ds:uri="http://schemas.microsoft.com/sharepoint/v4"/>
    <ds:schemaRef ds:uri="b7aeaaf3-b9c3-42fe-b260-2c7abff5fec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6E48DB-E72C-484E-96FD-B51DD2133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aeaaf3-b9c3-42fe-b260-2c7abff5fecc"/>
    <ds:schemaRef ds:uri="f191ad30-9ade-4f0c-b78e-cf30469879ae"/>
    <ds:schemaRef ds:uri="c705bd82-a326-406a-861c-c4644fab8d2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69A9D-6B29-463A-9C42-A0F38DF733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1186</Words>
  <Characters>7118</Characters>
  <Application>Microsoft Office Word</Application>
  <DocSecurity>0</DocSecurity>
  <Lines>59</Lines>
  <Paragraphs>16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mt-g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mt-g</dc:creator>
  <cp:lastModifiedBy>Plichta Joanna</cp:lastModifiedBy>
  <cp:revision>4</cp:revision>
  <dcterms:created xsi:type="dcterms:W3CDTF">2020-05-15T09:20:00Z</dcterms:created>
  <dcterms:modified xsi:type="dcterms:W3CDTF">2020-05-15T10:05:00Z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Confidential EU Network</vt:lpwstr>
  </property>
  <property fmtid="{D5CDD505-2E9C-101B-9397-08002B2CF9AE}" pid="3" name="DM_Author">
    <vt:lpwstr/>
  </property>
  <property fmtid="{D5CDD505-2E9C-101B-9397-08002B2CF9AE}" pid="4" name="DM_Category">
    <vt:lpwstr>General</vt:lpwstr>
  </property>
  <property fmtid="{D5CDD505-2E9C-101B-9397-08002B2CF9AE}" pid="5" name="DM_Creation_Date">
    <vt:lpwstr>12/03/2020 20:03:01</vt:lpwstr>
  </property>
  <property fmtid="{D5CDD505-2E9C-101B-9397-08002B2CF9AE}" pid="6" name="DM_Creator_Name">
    <vt:lpwstr>Dinar Svetlana</vt:lpwstr>
  </property>
  <property fmtid="{D5CDD505-2E9C-101B-9397-08002B2CF9AE}" pid="7" name="DM_DocRefId">
    <vt:lpwstr>EMA/124052/2020</vt:lpwstr>
  </property>
  <property fmtid="{D5CDD505-2E9C-101B-9397-08002B2CF9AE}" pid="8" name="DM_emea_doc_ref_id">
    <vt:lpwstr>EMA/124052/2020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Dinar Svetlana</vt:lpwstr>
  </property>
  <property fmtid="{D5CDD505-2E9C-101B-9397-08002B2CF9AE}" pid="12" name="DM_Modified_Date">
    <vt:lpwstr>12/03/2020 20:04:03</vt:lpwstr>
  </property>
  <property fmtid="{D5CDD505-2E9C-101B-9397-08002B2CF9AE}" pid="13" name="DM_Modifier_Name">
    <vt:lpwstr>Dinar Svetlana</vt:lpwstr>
  </property>
  <property fmtid="{D5CDD505-2E9C-101B-9397-08002B2CF9AE}" pid="14" name="DM_Modify_Date">
    <vt:lpwstr>12/03/2020 20:04:03</vt:lpwstr>
  </property>
  <property fmtid="{D5CDD505-2E9C-101B-9397-08002B2CF9AE}" pid="15" name="DM_Name">
    <vt:lpwstr>5FU and related substances EMEA-H-A31-1481 DHPC -  (I.V.) capecitabine and tegafur</vt:lpwstr>
  </property>
  <property fmtid="{D5CDD505-2E9C-101B-9397-08002B2CF9AE}" pid="16" name="DM_Path">
    <vt:lpwstr>/01. Evaluation of Medicines/Referrals/H - Article 31/5FU and related substances-1481/04 Commitee Outcome/01 PRAC recommendation/01 PRAC recommendation + AR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1.6,CURRENT</vt:lpwstr>
  </property>
  <property fmtid="{D5CDD505-2E9C-101B-9397-08002B2CF9AE}" pid="22" name="MSIP_Label_2d9d7e6c-11f4-4257-b828-eab96c7cca9c_ActionId">
    <vt:lpwstr>afced5ac-aa71-43a7-b509-7bffbebc405d</vt:lpwstr>
  </property>
  <property fmtid="{D5CDD505-2E9C-101B-9397-08002B2CF9AE}" pid="23" name="MSIP_Label_2d9d7e6c-11f4-4257-b828-eab96c7cca9c_Application">
    <vt:lpwstr>Microsoft Azure Information Protection</vt:lpwstr>
  </property>
  <property fmtid="{D5CDD505-2E9C-101B-9397-08002B2CF9AE}" pid="24" name="MSIP_Label_2d9d7e6c-11f4-4257-b828-eab96c7cca9c_Enabled">
    <vt:lpwstr>True</vt:lpwstr>
  </property>
  <property fmtid="{D5CDD505-2E9C-101B-9397-08002B2CF9AE}" pid="25" name="MSIP_Label_2d9d7e6c-11f4-4257-b828-eab96c7cca9c_Extended_MSFT_Method">
    <vt:lpwstr>Manual</vt:lpwstr>
  </property>
  <property fmtid="{D5CDD505-2E9C-101B-9397-08002B2CF9AE}" pid="26" name="MSIP_Label_2d9d7e6c-11f4-4257-b828-eab96c7cca9c_Name">
    <vt:lpwstr>Confidential</vt:lpwstr>
  </property>
  <property fmtid="{D5CDD505-2E9C-101B-9397-08002B2CF9AE}" pid="27" name="MSIP_Label_2d9d7e6c-11f4-4257-b828-eab96c7cca9c_Owner">
    <vt:lpwstr>Svetlana.Dinar@ema.europa.eu</vt:lpwstr>
  </property>
  <property fmtid="{D5CDD505-2E9C-101B-9397-08002B2CF9AE}" pid="28" name="MSIP_Label_2d9d7e6c-11f4-4257-b828-eab96c7cca9c_SetDate">
    <vt:lpwstr>2020-03-12T19:02:50.3095118Z</vt:lpwstr>
  </property>
  <property fmtid="{D5CDD505-2E9C-101B-9397-08002B2CF9AE}" pid="29" name="MSIP_Label_2d9d7e6c-11f4-4257-b828-eab96c7cca9c_SiteId">
    <vt:lpwstr>bc9dc15c-61bc-4f03-b60b-e5b6d8922839</vt:lpwstr>
  </property>
  <property fmtid="{D5CDD505-2E9C-101B-9397-08002B2CF9AE}" pid="30" name="MSIP_Label_65e7acf2-4eb7-48c7-9bab-32af677aaee2_ActionId">
    <vt:lpwstr>afced5ac-aa71-43a7-b509-7bffbebc405d</vt:lpwstr>
  </property>
  <property fmtid="{D5CDD505-2E9C-101B-9397-08002B2CF9AE}" pid="31" name="MSIP_Label_65e7acf2-4eb7-48c7-9bab-32af677aaee2_Application">
    <vt:lpwstr>Microsoft Azure Information Protection</vt:lpwstr>
  </property>
  <property fmtid="{D5CDD505-2E9C-101B-9397-08002B2CF9AE}" pid="32" name="MSIP_Label_65e7acf2-4eb7-48c7-9bab-32af677aaee2_Enabled">
    <vt:lpwstr>True</vt:lpwstr>
  </property>
  <property fmtid="{D5CDD505-2E9C-101B-9397-08002B2CF9AE}" pid="33" name="MSIP_Label_65e7acf2-4eb7-48c7-9bab-32af677aaee2_Extended_MSFT_Method">
    <vt:lpwstr>Manual</vt:lpwstr>
  </property>
  <property fmtid="{D5CDD505-2E9C-101B-9397-08002B2CF9AE}" pid="34" name="MSIP_Label_65e7acf2-4eb7-48c7-9bab-32af677aaee2_Name">
    <vt:lpwstr>EU Network</vt:lpwstr>
  </property>
  <property fmtid="{D5CDD505-2E9C-101B-9397-08002B2CF9AE}" pid="35" name="MSIP_Label_65e7acf2-4eb7-48c7-9bab-32af677aaee2_Owner">
    <vt:lpwstr>Svetlana.Dinar@ema.europa.eu</vt:lpwstr>
  </property>
  <property fmtid="{D5CDD505-2E9C-101B-9397-08002B2CF9AE}" pid="36" name="MSIP_Label_65e7acf2-4eb7-48c7-9bab-32af677aaee2_Parent">
    <vt:lpwstr>2d9d7e6c-11f4-4257-b828-eab96c7cca9c</vt:lpwstr>
  </property>
  <property fmtid="{D5CDD505-2E9C-101B-9397-08002B2CF9AE}" pid="37" name="MSIP_Label_65e7acf2-4eb7-48c7-9bab-32af677aaee2_SetDate">
    <vt:lpwstr>2020-03-12T19:02:50.3095118Z</vt:lpwstr>
  </property>
  <property fmtid="{D5CDD505-2E9C-101B-9397-08002B2CF9AE}" pid="38" name="MSIP_Label_65e7acf2-4eb7-48c7-9bab-32af677aaee2_SiteId">
    <vt:lpwstr>bc9dc15c-61bc-4f03-b60b-e5b6d8922839</vt:lpwstr>
  </property>
  <property fmtid="{D5CDD505-2E9C-101B-9397-08002B2CF9AE}" pid="39" name="ContentTypeId">
    <vt:lpwstr>0x01010068A8EB081882C0449CC145A6A5BCEFC5</vt:lpwstr>
  </property>
  <property fmtid="{D5CDD505-2E9C-101B-9397-08002B2CF9AE}" pid="40" name="TaxKeyword">
    <vt:lpwstr/>
  </property>
  <property fmtid="{D5CDD505-2E9C-101B-9397-08002B2CF9AE}" pid="41" name="_dlc_policyId">
    <vt:lpwstr>/team/20121f91/DHPC_TWIMC</vt:lpwstr>
  </property>
  <property fmtid="{D5CDD505-2E9C-101B-9397-08002B2CF9AE}" pid="42" name="ItemRetentionFormula">
    <vt:lpwstr>&lt;formula id="Roche.Common.Coremap.ExpirationFormula" /&gt;</vt:lpwstr>
  </property>
</Properties>
</file>