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3"/>
        <w:gridCol w:w="2410"/>
        <w:gridCol w:w="6095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03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3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STANDARDOWA PROCEDURA OPERACYJNA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(SOP)</w:t>
            </w:r>
          </w:p>
        </w:tc>
      </w:tr>
      <w:tr>
        <w:tblPrEx>
          <w:shd w:val="clear" w:color="auto" w:fill="ced7e7"/>
        </w:tblPrEx>
        <w:trPr>
          <w:trHeight w:val="805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Tytu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8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spacing w:before="240" w:after="240" w:line="276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Kwalifikacja dostawc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 produkt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 leczniczych oraz wyrob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w medycznych, </w:t>
            </w:r>
            <w:r>
              <w:rPr>
                <w:b w:val="1"/>
                <w:bCs w:val="1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hd w:val="nil" w:color="auto" w:fill="auto"/>
                <w:rtl w:val="0"/>
              </w:rPr>
              <w:t>rodk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 spo</w:t>
            </w:r>
            <w:r>
              <w:rPr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ywczych specjalnego przeznaczenia </w:t>
            </w:r>
            <w:r>
              <w:rPr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b w:val="1"/>
                <w:bCs w:val="1"/>
                <w:shd w:val="nil" w:color="auto" w:fill="auto"/>
                <w:rtl w:val="0"/>
              </w:rPr>
              <w:t>ywieniowego obj</w:t>
            </w:r>
            <w:r>
              <w:rPr>
                <w:b w:val="1"/>
                <w:bCs w:val="1"/>
                <w:shd w:val="nil" w:color="auto" w:fill="auto"/>
                <w:rtl w:val="0"/>
              </w:rPr>
              <w:t>ę</w:t>
            </w:r>
            <w:r>
              <w:rPr>
                <w:b w:val="1"/>
                <w:bCs w:val="1"/>
                <w:shd w:val="nil" w:color="auto" w:fill="auto"/>
                <w:rtl w:val="0"/>
              </w:rPr>
              <w:t>tych refundacj</w:t>
            </w:r>
            <w:r>
              <w:rPr>
                <w:b w:val="1"/>
                <w:bCs w:val="1"/>
                <w:shd w:val="nil" w:color="auto" w:fill="auto"/>
                <w:rtl w:val="0"/>
              </w:rPr>
              <w:t>ą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6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76" w:hanging="176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Podsumowanie:</w:t>
            </w:r>
          </w:p>
        </w:tc>
        <w:tc>
          <w:tcPr>
            <w:tcW w:type="dxa" w:w="8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Niniejsza procedura opisuje zasady kwalifikowania dostawc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w, w celu zapewnienia legalno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  <w:lang w:val="it-IT"/>
              </w:rPr>
              <w:t xml:space="preserve">ci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cucha dystrybucji produkt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leczniczych, wyrob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 xml:space="preserve">w medycznych i 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rodk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spo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 xml:space="preserve">ywczych specjalnego przeznaczenia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ywieniowego obj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tych decyzj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refundacyjn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Stanowisko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Data, podpis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Autor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Sprawdzone przez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Zatwierdzone przez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Kierownik apteki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Historia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Wersja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Data wdro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enia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Opis zmiany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00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  <w:lang w:val="pt-PT"/>
              </w:rPr>
              <w:t>[</w:t>
            </w:r>
            <w:r>
              <w:rPr>
                <w:shd w:val="clear" w:color="auto" w:fill="ffff00"/>
                <w:rtl w:val="0"/>
              </w:rPr>
              <w:t>…</w:t>
            </w:r>
            <w:r>
              <w:rPr>
                <w:shd w:val="nil" w:color="auto" w:fill="auto"/>
                <w:rtl w:val="0"/>
                <w:lang w:val="pt-PT"/>
              </w:rPr>
              <w:t>]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Opracowanie dokumentu</w:t>
            </w:r>
          </w:p>
        </w:tc>
      </w:tr>
    </w:tbl>
    <w:p>
      <w:pPr>
        <w:pStyle w:val="Treś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  <w:tabs>
          <w:tab w:val="left" w:pos="5190"/>
        </w:tabs>
        <w:jc w:val="both"/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Spis tre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ci</w:t>
      </w:r>
    </w:p>
    <w:p>
      <w:pPr>
        <w:pStyle w:val="Normal.0"/>
        <w:jc w:val="both"/>
      </w:pPr>
      <w:r>
        <w:rPr>
          <w:b w:val="1"/>
          <w:bCs w:val="1"/>
        </w:rPr>
        <w:fldChar w:fldCharType="begin" w:fldLock="0"/>
      </w:r>
      <w:r>
        <w:rPr>
          <w:b w:val="1"/>
          <w:bCs w:val="1"/>
        </w:rPr>
        <w:instrText xml:space="preserve"> TOC \t "heading 2, 1"</w:instrText>
      </w:r>
      <w:r>
        <w:rPr>
          <w:b w:val="1"/>
          <w:bCs w:val="1"/>
        </w:rPr>
        <w:fldChar w:fldCharType="separate" w:fldLock="0"/>
      </w:r>
    </w:p>
    <w:p>
      <w:pPr>
        <w:pStyle w:val="TOC 1"/>
      </w:pPr>
      <w:r>
        <w:rPr>
          <w:rFonts w:cs="Arial Unicode MS" w:eastAsia="Arial Unicode MS"/>
          <w:rtl w:val="0"/>
        </w:rPr>
        <w:t>1. Wytyczne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/>
          <w:rtl w:val="0"/>
        </w:rPr>
        <w:t>2. Cel i zakres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3. Odpowiedzialność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/>
          <w:rtl w:val="0"/>
        </w:rPr>
        <w:t>4. Definicje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Fonts w:cs="Arial Unicode MS" w:eastAsia="Arial Unicode MS"/>
          <w:rtl w:val="0"/>
        </w:rPr>
        <w:t>Procedura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1"/>
        <w:numPr>
          <w:ilvl w:val="0"/>
          <w:numId w:val="3"/>
        </w:numPr>
      </w:pPr>
      <w:r>
        <w:rPr>
          <w:rFonts w:cs="Arial Unicode MS" w:eastAsia="Arial Unicode MS" w:hint="default"/>
          <w:rtl w:val="0"/>
        </w:rPr>
        <w:t>Referencje i załączniki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jc w:val="both"/>
      </w:pPr>
      <w:r>
        <w:rPr>
          <w:b w:val="1"/>
          <w:bCs w:val="1"/>
        </w:rPr>
        <w:fldChar w:fldCharType="end" w:fldLock="0"/>
      </w:r>
    </w:p>
    <w:p>
      <w:pPr>
        <w:pStyle w:val="Normal.0"/>
        <w:jc w:val="both"/>
        <w:rPr>
          <w:lang w:val="en-US"/>
        </w:rPr>
      </w:pPr>
    </w:p>
    <w:p>
      <w:pPr>
        <w:pStyle w:val="Normal.0"/>
        <w:jc w:val="both"/>
        <w:rPr>
          <w:lang w:val="en-US"/>
        </w:rPr>
      </w:pPr>
    </w:p>
    <w:p>
      <w:pPr>
        <w:pStyle w:val="Normal.0"/>
        <w:jc w:val="both"/>
        <w:rPr>
          <w:lang w:val="en-US"/>
        </w:rPr>
      </w:pPr>
    </w:p>
    <w:p>
      <w:pPr>
        <w:pStyle w:val="Normal.0"/>
        <w:jc w:val="both"/>
        <w:rPr>
          <w:lang w:val="en-US"/>
        </w:rPr>
      </w:pPr>
    </w:p>
    <w:p>
      <w:pPr>
        <w:pStyle w:val="Normal.0"/>
        <w:jc w:val="both"/>
        <w:rPr>
          <w:lang w:val="en-US"/>
        </w:rPr>
      </w:pPr>
    </w:p>
    <w:p>
      <w:pPr>
        <w:pStyle w:val="Normal.0"/>
        <w:jc w:val="both"/>
        <w:rPr>
          <w:lang w:val="en-US"/>
        </w:rPr>
      </w:pPr>
    </w:p>
    <w:p>
      <w:pPr>
        <w:pStyle w:val="Normal.0"/>
        <w:jc w:val="both"/>
        <w:rPr>
          <w:lang w:val="en-US"/>
        </w:rPr>
      </w:pPr>
    </w:p>
    <w:p>
      <w:pPr>
        <w:pStyle w:val="Normal.0"/>
        <w:jc w:val="both"/>
        <w:rPr>
          <w:lang w:val="en-US"/>
        </w:rPr>
      </w:pPr>
    </w:p>
    <w:p>
      <w:pPr>
        <w:pStyle w:val="Normal.0"/>
        <w:jc w:val="both"/>
        <w:rPr>
          <w:lang w:val="en-US"/>
        </w:rPr>
      </w:pPr>
    </w:p>
    <w:p>
      <w:pPr>
        <w:pStyle w:val="Normal.0"/>
        <w:jc w:val="both"/>
        <w:rPr>
          <w:lang w:val="en-US"/>
        </w:rPr>
      </w:pPr>
    </w:p>
    <w:p>
      <w:pPr>
        <w:pStyle w:val="Normal.0"/>
        <w:jc w:val="both"/>
        <w:rPr>
          <w:lang w:val="en-US"/>
        </w:rPr>
      </w:pPr>
    </w:p>
    <w:p>
      <w:pPr>
        <w:pStyle w:val="Normal.0"/>
        <w:spacing w:after="120"/>
        <w:jc w:val="both"/>
        <w:rPr>
          <w:lang w:val="en-US"/>
        </w:rPr>
      </w:pPr>
    </w:p>
    <w:p>
      <w:pPr>
        <w:pStyle w:val="Normal.0"/>
        <w:spacing w:after="120"/>
        <w:jc w:val="both"/>
        <w:rPr>
          <w:lang w:val="en-US"/>
        </w:rPr>
      </w:pPr>
    </w:p>
    <w:p>
      <w:pPr>
        <w:pStyle w:val="Normal.0"/>
        <w:spacing w:after="120"/>
        <w:jc w:val="both"/>
        <w:rPr>
          <w:lang w:val="en-US"/>
        </w:rPr>
      </w:pPr>
    </w:p>
    <w:p>
      <w:pPr>
        <w:pStyle w:val="Normal.0"/>
        <w:spacing w:after="120"/>
        <w:jc w:val="both"/>
        <w:rPr>
          <w:lang w:val="en-US"/>
        </w:rPr>
      </w:pPr>
    </w:p>
    <w:p>
      <w:pPr>
        <w:pStyle w:val="Normal.0"/>
        <w:spacing w:after="120"/>
        <w:jc w:val="both"/>
        <w:rPr>
          <w:lang w:val="en-US"/>
        </w:rPr>
      </w:pPr>
    </w:p>
    <w:p>
      <w:pPr>
        <w:pStyle w:val="Normal.0"/>
        <w:spacing w:after="120"/>
        <w:jc w:val="both"/>
        <w:rPr>
          <w:lang w:val="en-US"/>
        </w:rPr>
      </w:pPr>
    </w:p>
    <w:p>
      <w:pPr>
        <w:pStyle w:val="Normal.0"/>
        <w:spacing w:after="120"/>
        <w:jc w:val="both"/>
        <w:rPr>
          <w:b w:val="1"/>
          <w:bCs w:val="1"/>
          <w:lang w:val="en-US"/>
        </w:rPr>
      </w:pPr>
    </w:p>
    <w:p>
      <w:pPr>
        <w:pStyle w:val="Normal.0"/>
        <w:spacing w:after="120"/>
        <w:jc w:val="both"/>
        <w:rPr>
          <w:b w:val="1"/>
          <w:bCs w:val="1"/>
          <w:lang w:val="en-US"/>
        </w:rPr>
      </w:pPr>
    </w:p>
    <w:p>
      <w:pPr>
        <w:pStyle w:val="heading 2"/>
        <w:ind w:left="420" w:firstLine="0"/>
        <w:rPr>
          <w:rFonts w:ascii="Calibri" w:cs="Calibri" w:hAnsi="Calibri" w:eastAsia="Calibri"/>
          <w:sz w:val="22"/>
          <w:szCs w:val="22"/>
        </w:rPr>
      </w:pPr>
      <w:bookmarkStart w:name="_Toc" w:id="0"/>
      <w:r>
        <w:rPr>
          <w:rFonts w:ascii="Calibri" w:hAnsi="Calibri"/>
          <w:sz w:val="22"/>
          <w:szCs w:val="22"/>
          <w:rtl w:val="0"/>
          <w:lang w:val="en-US"/>
        </w:rPr>
        <w:t xml:space="preserve">1. </w:t>
      </w:r>
      <w:r>
        <w:rPr>
          <w:rFonts w:ascii="Calibri" w:hAnsi="Calibri"/>
          <w:sz w:val="22"/>
          <w:szCs w:val="22"/>
          <w:rtl w:val="0"/>
        </w:rPr>
        <w:t>Wytyczne</w:t>
      </w:r>
      <w:bookmarkEnd w:id="0"/>
    </w:p>
    <w:p>
      <w:pPr>
        <w:pStyle w:val="List Paragraph"/>
        <w:numPr>
          <w:ilvl w:val="0"/>
          <w:numId w:val="5"/>
        </w:numPr>
        <w:spacing w:after="120"/>
        <w:jc w:val="both"/>
      </w:pPr>
      <w:r>
        <w:rPr>
          <w:rtl w:val="0"/>
        </w:rPr>
        <w:t>Ustawa z dnia 6 wrze</w:t>
      </w:r>
      <w:r>
        <w:rPr>
          <w:rtl w:val="0"/>
        </w:rPr>
        <w:t>ś</w:t>
      </w:r>
      <w:r>
        <w:rPr>
          <w:rtl w:val="0"/>
        </w:rPr>
        <w:t xml:space="preserve">nia 2001 roku,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art. 88 ust.5 pkt. 8 i 9 </w:t>
      </w:r>
      <w:r>
        <w:rPr>
          <w:rtl w:val="0"/>
        </w:rPr>
        <w:t xml:space="preserve">– </w:t>
      </w:r>
      <w:r>
        <w:rPr>
          <w:rtl w:val="0"/>
        </w:rPr>
        <w:t xml:space="preserve">Prawo farmaceutyczne </w:t>
      </w:r>
      <w:r>
        <w:rPr>
          <w:rtl w:val="1"/>
          <w:lang w:val="ar-SA" w:bidi="ar-SA"/>
        </w:rPr>
        <w:t>– “</w:t>
      </w:r>
      <w:r>
        <w:rPr>
          <w:rtl w:val="0"/>
        </w:rPr>
        <w:t>Prawo farmaceutyczne</w:t>
      </w:r>
      <w:r>
        <w:rPr>
          <w:rtl w:val="0"/>
        </w:rPr>
        <w:t xml:space="preserve">” </w:t>
      </w:r>
      <w:r>
        <w:rPr>
          <w:rtl w:val="0"/>
          <w:lang w:val="pt-PT"/>
        </w:rPr>
        <w:t>(UPF)</w:t>
      </w:r>
    </w:p>
    <w:p>
      <w:pPr>
        <w:pStyle w:val="List Paragraph"/>
        <w:spacing w:after="120"/>
        <w:ind w:left="284" w:firstLine="0"/>
        <w:jc w:val="both"/>
      </w:pPr>
    </w:p>
    <w:p>
      <w:pPr>
        <w:pStyle w:val="heading 2"/>
        <w:ind w:left="420" w:firstLine="0"/>
        <w:rPr>
          <w:rFonts w:ascii="Calibri" w:cs="Calibri" w:hAnsi="Calibri" w:eastAsia="Calibri"/>
          <w:sz w:val="22"/>
          <w:szCs w:val="22"/>
        </w:rPr>
      </w:pPr>
      <w:bookmarkStart w:name="_Toc1" w:id="1"/>
      <w:r>
        <w:rPr>
          <w:rFonts w:ascii="Calibri" w:hAnsi="Calibri"/>
          <w:sz w:val="22"/>
          <w:szCs w:val="22"/>
          <w:rtl w:val="0"/>
        </w:rPr>
        <w:t>2. Cel i zakres</w:t>
      </w:r>
      <w:bookmarkEnd w:id="1"/>
    </w:p>
    <w:p>
      <w:pPr>
        <w:pStyle w:val="Normal.0"/>
        <w:spacing w:before="240" w:after="240"/>
        <w:jc w:val="both"/>
      </w:pPr>
      <w:r>
        <w:rPr>
          <w:rtl w:val="0"/>
        </w:rPr>
        <w:t>Celem niniejszej procedury jest okre</w:t>
      </w:r>
      <w:r>
        <w:rPr>
          <w:rtl w:val="0"/>
        </w:rPr>
        <w:t>ś</w:t>
      </w:r>
      <w:r>
        <w:rPr>
          <w:rtl w:val="0"/>
        </w:rPr>
        <w:t>lenie zasad kwalifikacji Dostawc</w:t>
      </w:r>
      <w:r>
        <w:rPr>
          <w:rtl w:val="0"/>
          <w:lang w:val="es-ES_tradnl"/>
        </w:rPr>
        <w:t>ó</w:t>
      </w:r>
      <w:r>
        <w:rPr>
          <w:rtl w:val="0"/>
        </w:rPr>
        <w:t>w w Aptece [</w:t>
      </w:r>
      <w:r>
        <w:rPr>
          <w:shd w:val="clear" w:color="auto" w:fill="ffff00"/>
          <w:rtl w:val="0"/>
        </w:rPr>
        <w:t>…</w:t>
      </w:r>
      <w:r>
        <w:rPr>
          <w:rtl w:val="0"/>
          <w:lang w:val="pt-PT"/>
        </w:rPr>
        <w:t>].</w:t>
      </w:r>
    </w:p>
    <w:p>
      <w:pPr>
        <w:pStyle w:val="Normal.0"/>
        <w:spacing w:before="240" w:after="240"/>
        <w:jc w:val="both"/>
      </w:pPr>
      <w:r>
        <w:rPr>
          <w:rtl w:val="0"/>
        </w:rPr>
        <w:t>Zakres stosowania obejmuje Aptek</w:t>
      </w:r>
      <w:r>
        <w:rPr>
          <w:rtl w:val="0"/>
        </w:rPr>
        <w:t xml:space="preserve">ę </w:t>
      </w:r>
      <w:r>
        <w:rPr>
          <w:shd w:val="clear" w:color="auto" w:fill="ffff00"/>
          <w:rtl w:val="0"/>
          <w:lang w:val="pt-PT"/>
        </w:rPr>
        <w:t>[</w:t>
      </w:r>
      <w:r>
        <w:rPr>
          <w:shd w:val="clear" w:color="auto" w:fill="ffff00"/>
          <w:rtl w:val="0"/>
        </w:rPr>
        <w:t>…</w:t>
      </w:r>
      <w:r>
        <w:rPr>
          <w:rtl w:val="0"/>
        </w:rPr>
        <w:t>], mieszcz</w:t>
      </w:r>
      <w:r>
        <w:rPr>
          <w:rtl w:val="0"/>
        </w:rPr>
        <w:t>ą</w:t>
      </w:r>
      <w:r>
        <w:rPr>
          <w:rtl w:val="0"/>
          <w:lang w:val="it-IT"/>
        </w:rPr>
        <w:t>ca si</w:t>
      </w:r>
      <w:r>
        <w:rPr>
          <w:rtl w:val="0"/>
        </w:rPr>
        <w:t xml:space="preserve">ę </w:t>
      </w:r>
      <w:r>
        <w:rPr>
          <w:rtl w:val="0"/>
        </w:rPr>
        <w:t>w</w:t>
      </w:r>
      <w:r>
        <w:rPr>
          <w:shd w:val="clear" w:color="auto" w:fill="ffff00"/>
          <w:rtl w:val="0"/>
        </w:rPr>
        <w:t>……</w:t>
      </w:r>
      <w:r>
        <w:rPr>
          <w:shd w:val="clear" w:color="auto" w:fill="ffff00"/>
          <w:rtl w:val="0"/>
        </w:rPr>
        <w:t>.</w:t>
      </w:r>
      <w:r>
        <w:rPr>
          <w:rtl w:val="0"/>
        </w:rPr>
        <w:t>, posiadaj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 xml:space="preserve">zezwolenie na prowadzenia apteki o numerze  </w:t>
      </w:r>
      <w:r>
        <w:rPr>
          <w:shd w:val="clear" w:color="auto" w:fill="ffff00"/>
          <w:rtl w:val="0"/>
          <w:lang w:val="pt-PT"/>
        </w:rPr>
        <w:t>[</w:t>
      </w:r>
      <w:r>
        <w:rPr>
          <w:shd w:val="clear" w:color="auto" w:fill="ffff00"/>
          <w:rtl w:val="0"/>
        </w:rPr>
        <w:t>…</w:t>
      </w:r>
      <w:r>
        <w:rPr>
          <w:shd w:val="clear" w:color="auto" w:fill="ffff00"/>
          <w:rtl w:val="0"/>
          <w:lang w:val="pt-PT"/>
        </w:rPr>
        <w:t>]</w:t>
      </w:r>
    </w:p>
    <w:p>
      <w:pPr>
        <w:pStyle w:val="heading 2"/>
        <w:ind w:left="284" w:firstLine="0"/>
        <w:rPr>
          <w:rFonts w:ascii="Calibri" w:cs="Calibri" w:hAnsi="Calibri" w:eastAsia="Calibri"/>
          <w:sz w:val="22"/>
          <w:szCs w:val="22"/>
        </w:rPr>
      </w:pPr>
      <w:bookmarkStart w:name="_Toc2" w:id="2"/>
      <w:r>
        <w:rPr>
          <w:rFonts w:ascii="Calibri" w:hAnsi="Calibri"/>
          <w:sz w:val="22"/>
          <w:szCs w:val="22"/>
          <w:rtl w:val="0"/>
        </w:rPr>
        <w:t>3. Odpowiedzialno</w:t>
      </w:r>
      <w:r>
        <w:rPr>
          <w:rFonts w:ascii="Calibri" w:hAnsi="Calibri" w:hint="default"/>
          <w:sz w:val="22"/>
          <w:szCs w:val="22"/>
          <w:rtl w:val="0"/>
        </w:rPr>
        <w:t>ść</w:t>
      </w:r>
      <w:bookmarkEnd w:id="2"/>
    </w:p>
    <w:p>
      <w:pPr>
        <w:pStyle w:val="List Paragraph"/>
        <w:numPr>
          <w:ilvl w:val="1"/>
          <w:numId w:val="7"/>
        </w:numPr>
        <w:jc w:val="both"/>
      </w:pPr>
      <w:r>
        <w:rPr>
          <w:b w:val="1"/>
          <w:bCs w:val="1"/>
          <w:rtl w:val="0"/>
        </w:rPr>
        <w:t xml:space="preserve">Kierownik apteki </w:t>
      </w:r>
      <w:r>
        <w:rPr>
          <w:rtl w:val="0"/>
        </w:rPr>
        <w:t>odpowiada za</w:t>
      </w:r>
      <w:r>
        <w:rPr>
          <w:b w:val="1"/>
          <w:bCs w:val="1"/>
          <w:rtl w:val="0"/>
        </w:rPr>
        <w:t>:</w:t>
      </w:r>
    </w:p>
    <w:p>
      <w:pPr>
        <w:pStyle w:val="List Paragraph"/>
        <w:numPr>
          <w:ilvl w:val="2"/>
          <w:numId w:val="7"/>
        </w:numPr>
      </w:pPr>
      <w:r>
        <w:rPr>
          <w:rtl w:val="0"/>
        </w:rPr>
        <w:t xml:space="preserve">Zapewnianie, </w:t>
      </w:r>
      <w:r>
        <w:rPr>
          <w:rtl w:val="0"/>
        </w:rPr>
        <w:t>ż</w:t>
      </w:r>
      <w:r>
        <w:rPr>
          <w:rtl w:val="0"/>
        </w:rPr>
        <w:t>e dostawy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przyjmowane wy</w:t>
      </w:r>
      <w:r>
        <w:rPr>
          <w:rtl w:val="0"/>
        </w:rPr>
        <w:t>łą</w:t>
      </w:r>
      <w:r>
        <w:rPr>
          <w:rtl w:val="0"/>
        </w:rPr>
        <w:t>cznie od podmiot</w:t>
      </w:r>
      <w:r>
        <w:rPr>
          <w:rtl w:val="0"/>
          <w:lang w:val="es-ES_tradnl"/>
        </w:rPr>
        <w:t>ó</w:t>
      </w:r>
      <w:r>
        <w:rPr>
          <w:rtl w:val="0"/>
        </w:rPr>
        <w:t>w uprawnionych,</w:t>
      </w:r>
    </w:p>
    <w:p>
      <w:pPr>
        <w:pStyle w:val="List Paragraph"/>
        <w:numPr>
          <w:ilvl w:val="2"/>
          <w:numId w:val="7"/>
        </w:numPr>
        <w:jc w:val="both"/>
      </w:pPr>
      <w:r>
        <w:rPr>
          <w:rtl w:val="0"/>
        </w:rPr>
        <w:t>Przeprowadzanie lub zlecanie przeprowadzania wyznaczonej osobie okresowej weryfikacji dostawc</w:t>
      </w:r>
      <w:r>
        <w:rPr>
          <w:rtl w:val="0"/>
          <w:lang w:val="es-ES_tradnl"/>
        </w:rPr>
        <w:t>ó</w:t>
      </w:r>
      <w:r>
        <w:rPr>
          <w:rtl w:val="0"/>
        </w:rPr>
        <w:t>w,</w:t>
      </w:r>
    </w:p>
    <w:p>
      <w:pPr>
        <w:pStyle w:val="List Paragraph"/>
        <w:numPr>
          <w:ilvl w:val="2"/>
          <w:numId w:val="7"/>
        </w:numPr>
        <w:jc w:val="both"/>
      </w:pPr>
      <w:r>
        <w:rPr>
          <w:rtl w:val="0"/>
        </w:rPr>
        <w:t>Archiwizowanie dokumentacji, zwi</w:t>
      </w:r>
      <w:r>
        <w:rPr>
          <w:rtl w:val="0"/>
        </w:rPr>
        <w:t>ą</w:t>
      </w:r>
      <w:r>
        <w:rPr>
          <w:rtl w:val="0"/>
        </w:rPr>
        <w:t>zanej z kwalifikacj</w:t>
      </w:r>
      <w:r>
        <w:rPr>
          <w:rtl w:val="0"/>
        </w:rPr>
        <w:t xml:space="preserve">ą </w:t>
      </w:r>
      <w:r>
        <w:rPr>
          <w:rtl w:val="0"/>
        </w:rPr>
        <w:t>i weryfikacj</w:t>
      </w:r>
      <w:r>
        <w:rPr>
          <w:rtl w:val="0"/>
        </w:rPr>
        <w:t xml:space="preserve">ą </w:t>
      </w:r>
      <w:r>
        <w:rPr>
          <w:rtl w:val="0"/>
        </w:rPr>
        <w:t>dostawc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</w:t>
      </w:r>
    </w:p>
    <w:p>
      <w:pPr>
        <w:pStyle w:val="List Paragraph"/>
        <w:numPr>
          <w:ilvl w:val="2"/>
          <w:numId w:val="7"/>
        </w:numPr>
        <w:jc w:val="both"/>
      </w:pPr>
      <w:r>
        <w:rPr>
          <w:rtl w:val="0"/>
        </w:rPr>
        <w:t>Nadz</w:t>
      </w:r>
      <w:r>
        <w:rPr>
          <w:rtl w:val="0"/>
          <w:lang w:val="es-ES_tradnl"/>
        </w:rPr>
        <w:t>ó</w:t>
      </w:r>
      <w:r>
        <w:rPr>
          <w:rtl w:val="0"/>
        </w:rPr>
        <w:t>r nad przestrzeganiem zasad niniejszej procedury.</w:t>
      </w:r>
    </w:p>
    <w:p>
      <w:pPr>
        <w:pStyle w:val="List Paragraph"/>
        <w:numPr>
          <w:ilvl w:val="1"/>
          <w:numId w:val="7"/>
        </w:numPr>
        <w:jc w:val="both"/>
      </w:pPr>
      <w:r>
        <w:rPr>
          <w:b w:val="1"/>
          <w:bCs w:val="1"/>
          <w:rtl w:val="0"/>
        </w:rPr>
        <w:t>Farmaceuci i Technicy Farmacji</w:t>
      </w:r>
      <w:r>
        <w:rPr>
          <w:rtl w:val="0"/>
        </w:rPr>
        <w:t xml:space="preserve"> (fachowy personel Apteki) zobowi</w:t>
      </w:r>
      <w:r>
        <w:rPr>
          <w:rtl w:val="0"/>
        </w:rPr>
        <w:t>ą</w:t>
      </w:r>
      <w:r>
        <w:rPr>
          <w:rtl w:val="0"/>
        </w:rPr>
        <w:t>zani s</w:t>
      </w:r>
      <w:r>
        <w:rPr>
          <w:rtl w:val="0"/>
        </w:rPr>
        <w:t xml:space="preserve">ą </w:t>
      </w:r>
      <w:r>
        <w:rPr>
          <w:rtl w:val="0"/>
          <w:lang w:val="it-IT"/>
        </w:rPr>
        <w:t>do:</w:t>
      </w:r>
    </w:p>
    <w:p>
      <w:pPr>
        <w:pStyle w:val="List Paragraph"/>
        <w:numPr>
          <w:ilvl w:val="2"/>
          <w:numId w:val="7"/>
        </w:numPr>
        <w:jc w:val="both"/>
      </w:pPr>
      <w:r>
        <w:rPr>
          <w:rtl w:val="0"/>
        </w:rPr>
        <w:t xml:space="preserve"> Przestrzeganie zasad niniejszej procedury</w:t>
      </w:r>
    </w:p>
    <w:p>
      <w:pPr>
        <w:pStyle w:val="List Paragraph"/>
        <w:numPr>
          <w:ilvl w:val="2"/>
          <w:numId w:val="7"/>
        </w:numPr>
        <w:jc w:val="both"/>
      </w:pPr>
      <w:r>
        <w:rPr>
          <w:rtl w:val="0"/>
        </w:rPr>
        <w:t xml:space="preserve"> Zg</w:t>
      </w:r>
      <w:r>
        <w:rPr>
          <w:rtl w:val="0"/>
        </w:rPr>
        <w:t>ł</w:t>
      </w:r>
      <w:r>
        <w:rPr>
          <w:rtl w:val="0"/>
        </w:rPr>
        <w:t>aszanie do Kierownika Apteki zauwa</w:t>
      </w:r>
      <w:r>
        <w:rPr>
          <w:rtl w:val="0"/>
        </w:rPr>
        <w:t>ż</w:t>
      </w:r>
      <w:r>
        <w:rPr>
          <w:rtl w:val="0"/>
        </w:rPr>
        <w:t>onych niezgodno</w:t>
      </w:r>
      <w:r>
        <w:rPr>
          <w:rtl w:val="0"/>
        </w:rPr>
        <w:t>ś</w:t>
      </w:r>
      <w:r>
        <w:rPr>
          <w:rtl w:val="0"/>
        </w:rPr>
        <w:t>ci i nieprawid</w:t>
      </w:r>
      <w:r>
        <w:rPr>
          <w:rtl w:val="0"/>
        </w:rPr>
        <w:t>ł</w:t>
      </w:r>
      <w:r>
        <w:rPr>
          <w:rtl w:val="0"/>
        </w:rPr>
        <w:t>owo</w:t>
      </w:r>
      <w:r>
        <w:rPr>
          <w:rtl w:val="0"/>
        </w:rPr>
        <w:t>ś</w:t>
      </w:r>
      <w:r>
        <w:rPr>
          <w:rtl w:val="0"/>
        </w:rPr>
        <w:t xml:space="preserve">ci  </w:t>
      </w:r>
    </w:p>
    <w:p>
      <w:pPr>
        <w:pStyle w:val="heading 2"/>
        <w:rPr>
          <w:rFonts w:ascii="Calibri" w:cs="Calibri" w:hAnsi="Calibri" w:eastAsia="Calibri"/>
          <w:sz w:val="22"/>
          <w:szCs w:val="22"/>
        </w:rPr>
      </w:pPr>
      <w:bookmarkStart w:name="_Toc3" w:id="3"/>
      <w:r>
        <w:rPr>
          <w:rFonts w:ascii="Calibri" w:hAnsi="Calibri"/>
          <w:sz w:val="22"/>
          <w:szCs w:val="22"/>
          <w:rtl w:val="0"/>
        </w:rPr>
        <w:t>4. Definicje</w:t>
      </w:r>
      <w:bookmarkEnd w:id="3"/>
    </w:p>
    <w:p>
      <w:pPr>
        <w:pStyle w:val="List Paragraph"/>
        <w:numPr>
          <w:ilvl w:val="0"/>
          <w:numId w:val="9"/>
        </w:numPr>
        <w:spacing w:after="0"/>
        <w:jc w:val="both"/>
      </w:pPr>
      <w:r>
        <w:rPr>
          <w:b w:val="1"/>
          <w:bCs w:val="1"/>
          <w:rtl w:val="0"/>
        </w:rPr>
        <w:t>Apteka</w:t>
      </w:r>
      <w:r>
        <w:rPr>
          <w:rtl w:val="0"/>
        </w:rPr>
        <w:t xml:space="preserve"> - plac</w:t>
      </w:r>
      <w:r>
        <w:rPr>
          <w:rtl w:val="0"/>
          <w:lang w:val="es-ES_tradnl"/>
        </w:rPr>
        <w:t>ó</w:t>
      </w:r>
      <w:r>
        <w:rPr>
          <w:rtl w:val="0"/>
        </w:rPr>
        <w:t>wka ochrony zdrowia publicznego, w 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rej osoby uprawnione </w:t>
      </w:r>
      <w:r>
        <w:rPr>
          <w:rtl w:val="0"/>
        </w:rPr>
        <w:t>ś</w:t>
      </w:r>
      <w:r>
        <w:rPr>
          <w:rtl w:val="0"/>
        </w:rPr>
        <w:t>wiadcz</w:t>
      </w:r>
      <w:r>
        <w:rPr>
          <w:rtl w:val="0"/>
        </w:rPr>
        <w:t xml:space="preserve">ą </w:t>
      </w:r>
      <w:r>
        <w:rPr>
          <w:rtl w:val="0"/>
        </w:rPr>
        <w:t>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us</w:t>
      </w:r>
      <w:r>
        <w:rPr>
          <w:rtl w:val="0"/>
        </w:rPr>
        <w:t>ł</w:t>
      </w:r>
      <w:r>
        <w:rPr>
          <w:rtl w:val="0"/>
        </w:rPr>
        <w:t>ugi farmaceutyczne, o kt</w:t>
      </w:r>
      <w:r>
        <w:rPr>
          <w:rtl w:val="0"/>
          <w:lang w:val="es-ES_tradnl"/>
        </w:rPr>
        <w:t>ó</w:t>
      </w:r>
      <w:r>
        <w:rPr>
          <w:rtl w:val="0"/>
        </w:rPr>
        <w:t>rych mowa w art. 86 ust. 2. Ustawy prawo Farmaceutyczne</w:t>
      </w:r>
    </w:p>
    <w:p>
      <w:pPr>
        <w:pStyle w:val="List Paragraph"/>
        <w:numPr>
          <w:ilvl w:val="0"/>
          <w:numId w:val="10"/>
        </w:numPr>
        <w:bidi w:val="0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Dostawca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–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hurtownia farmaceutyczne od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 nabywane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produkty lecznicze oraz wyroby medyczne i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rodki spo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ywcze specjalnego przeznaczenia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ywieniowego obj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 refundacj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</w:p>
    <w:p>
      <w:pPr>
        <w:pStyle w:val="List Paragraph"/>
        <w:numPr>
          <w:ilvl w:val="0"/>
          <w:numId w:val="9"/>
        </w:numPr>
        <w:spacing w:after="0"/>
        <w:jc w:val="both"/>
      </w:pPr>
      <w:r>
        <w:rPr>
          <w:b w:val="1"/>
          <w:bCs w:val="1"/>
          <w:rtl w:val="0"/>
        </w:rPr>
        <w:t>GIF</w:t>
      </w:r>
      <w:r>
        <w:rPr>
          <w:rtl w:val="0"/>
        </w:rPr>
        <w:t xml:space="preserve"> – </w:t>
      </w:r>
      <w:r>
        <w:rPr>
          <w:rtl w:val="0"/>
        </w:rPr>
        <w:t>G</w:t>
      </w:r>
      <w:r>
        <w:rPr>
          <w:rtl w:val="0"/>
        </w:rPr>
        <w:t>łó</w:t>
      </w:r>
      <w:r>
        <w:rPr>
          <w:rtl w:val="0"/>
        </w:rPr>
        <w:t>wny Inspektor Farmaceutyczny</w:t>
      </w:r>
      <w:r>
        <w:rPr>
          <w:b w:val="1"/>
          <w:bCs w:val="1"/>
          <w:rtl w:val="0"/>
        </w:rPr>
        <w:t xml:space="preserve"> </w:t>
      </w:r>
    </w:p>
    <w:p>
      <w:pPr>
        <w:pStyle w:val="List Paragraph"/>
        <w:numPr>
          <w:ilvl w:val="0"/>
          <w:numId w:val="9"/>
        </w:numPr>
        <w:spacing w:after="0"/>
        <w:jc w:val="both"/>
      </w:pPr>
      <w:r>
        <w:rPr>
          <w:b w:val="1"/>
          <w:bCs w:val="1"/>
          <w:rtl w:val="0"/>
        </w:rPr>
        <w:t>Kierownik Apteki</w:t>
      </w:r>
      <w:r>
        <w:rPr>
          <w:rtl w:val="0"/>
        </w:rPr>
        <w:t xml:space="preserve"> – </w:t>
      </w:r>
      <w:r>
        <w:rPr>
          <w:rtl w:val="0"/>
        </w:rPr>
        <w:t>Farmaceuta odpowiedzialny za prowadzenie apteki, spe</w:t>
      </w:r>
      <w:r>
        <w:rPr>
          <w:rtl w:val="0"/>
        </w:rPr>
        <w:t>ł</w:t>
      </w:r>
      <w:r>
        <w:rPr>
          <w:rtl w:val="0"/>
        </w:rPr>
        <w:t>anij</w:t>
      </w:r>
      <w:r>
        <w:rPr>
          <w:rtl w:val="0"/>
        </w:rPr>
        <w:t>ą</w:t>
      </w:r>
      <w:r>
        <w:rPr>
          <w:rtl w:val="0"/>
        </w:rPr>
        <w:t>cy wymogi okre</w:t>
      </w:r>
      <w:r>
        <w:rPr>
          <w:rtl w:val="0"/>
        </w:rPr>
        <w:t>ś</w:t>
      </w:r>
      <w:r>
        <w:rPr>
          <w:rtl w:val="0"/>
        </w:rPr>
        <w:t>lone w art.88 Ustawy Prawo Farmaceutyczne</w:t>
      </w:r>
    </w:p>
    <w:p>
      <w:pPr>
        <w:pStyle w:val="List Paragraph"/>
        <w:numPr>
          <w:ilvl w:val="0"/>
          <w:numId w:val="9"/>
        </w:numPr>
        <w:spacing w:after="0"/>
        <w:jc w:val="both"/>
      </w:pPr>
      <w:r>
        <w:rPr>
          <w:b w:val="1"/>
          <w:bCs w:val="1"/>
          <w:rtl w:val="0"/>
        </w:rPr>
        <w:t xml:space="preserve">Produkty: </w:t>
      </w:r>
      <w:r>
        <w:rPr>
          <w:rtl w:val="0"/>
        </w:rPr>
        <w:t xml:space="preserve">produkty lecznicze, wyroby medyczne oraz </w:t>
      </w:r>
      <w:r>
        <w:rPr>
          <w:rtl w:val="0"/>
        </w:rPr>
        <w:t>ś</w:t>
      </w:r>
      <w:r>
        <w:rPr>
          <w:rtl w:val="0"/>
        </w:rPr>
        <w:t>rodki spo</w:t>
      </w:r>
      <w:r>
        <w:rPr>
          <w:rtl w:val="0"/>
        </w:rPr>
        <w:t>ż</w:t>
      </w:r>
      <w:r>
        <w:rPr>
          <w:rtl w:val="0"/>
        </w:rPr>
        <w:t xml:space="preserve">ywcze specjalnego przeznaczenia </w:t>
      </w:r>
      <w:r>
        <w:rPr>
          <w:rtl w:val="0"/>
        </w:rPr>
        <w:t>ż</w:t>
      </w:r>
      <w:r>
        <w:rPr>
          <w:rtl w:val="0"/>
        </w:rPr>
        <w:t>ywieniowego, w stosunku do kt</w:t>
      </w:r>
      <w:r>
        <w:rPr>
          <w:rtl w:val="0"/>
          <w:lang w:val="es-ES_tradnl"/>
        </w:rPr>
        <w:t>ó</w:t>
      </w:r>
      <w:r>
        <w:rPr>
          <w:rtl w:val="0"/>
        </w:rPr>
        <w:t>rych wydano decyzje o obj</w:t>
      </w:r>
      <w:r>
        <w:rPr>
          <w:rtl w:val="0"/>
        </w:rPr>
        <w:t>ę</w:t>
      </w:r>
      <w:r>
        <w:rPr>
          <w:rtl w:val="0"/>
        </w:rPr>
        <w:t>ciu refundacj</w:t>
      </w:r>
      <w:r>
        <w:rPr>
          <w:rtl w:val="0"/>
        </w:rPr>
        <w:t xml:space="preserve">ą </w:t>
      </w:r>
      <w:r>
        <w:rPr>
          <w:rtl w:val="0"/>
        </w:rPr>
        <w:t>oraz pozosta</w:t>
      </w:r>
      <w:r>
        <w:rPr>
          <w:rtl w:val="0"/>
        </w:rPr>
        <w:t>ł</w:t>
      </w:r>
      <w:r>
        <w:rPr>
          <w:rtl w:val="0"/>
        </w:rPr>
        <w:t>y asortyment Apteki</w:t>
      </w:r>
    </w:p>
    <w:p>
      <w:pPr>
        <w:pStyle w:val="List Paragraph"/>
        <w:spacing w:after="0"/>
        <w:ind w:left="360" w:firstLine="0"/>
        <w:jc w:val="both"/>
        <w:rPr>
          <w:b w:val="1"/>
          <w:bCs w:val="1"/>
        </w:rPr>
      </w:pPr>
    </w:p>
    <w:p>
      <w:pPr>
        <w:pStyle w:val="heading 2"/>
        <w:numPr>
          <w:ilvl w:val="0"/>
          <w:numId w:val="13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Toc4" w:id="4"/>
      <w:r>
        <w:rPr>
          <w:rFonts w:ascii="Calibri" w:hAnsi="Calibri"/>
          <w:sz w:val="22"/>
          <w:szCs w:val="22"/>
          <w:rtl w:val="0"/>
          <w:lang w:val="it-IT"/>
        </w:rPr>
        <w:t xml:space="preserve">Procedura </w:t>
      </w:r>
      <w:bookmarkEnd w:id="4"/>
    </w:p>
    <w:p>
      <w:pPr>
        <w:pStyle w:val="List Paragraph"/>
        <w:numPr>
          <w:ilvl w:val="1"/>
          <w:numId w:val="12"/>
        </w:numPr>
        <w:jc w:val="both"/>
        <w:rPr>
          <w:lang w:val="en-US"/>
        </w:rPr>
      </w:pPr>
      <w:r>
        <w:rPr>
          <w:b w:val="1"/>
          <w:bCs w:val="1"/>
          <w:rtl w:val="0"/>
          <w:lang w:val="en-US"/>
        </w:rPr>
        <w:t>Zasady og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lne</w:t>
      </w:r>
    </w:p>
    <w:p>
      <w:pPr>
        <w:pStyle w:val="List Paragraph"/>
        <w:numPr>
          <w:ilvl w:val="2"/>
          <w:numId w:val="15"/>
        </w:numPr>
        <w:jc w:val="both"/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dy Dostawca podlega procesowi kwalifikacji przed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eniem pierwszego zam</w:t>
      </w:r>
      <w:r>
        <w:rPr>
          <w:rtl w:val="0"/>
          <w:lang w:val="es-ES_tradnl"/>
        </w:rPr>
        <w:t>ó</w:t>
      </w:r>
      <w:r>
        <w:rPr>
          <w:rtl w:val="0"/>
        </w:rPr>
        <w:t>wienia oraz po ka</w:t>
      </w:r>
      <w:r>
        <w:rPr>
          <w:rtl w:val="0"/>
        </w:rPr>
        <w:t>ż</w:t>
      </w:r>
      <w:r>
        <w:rPr>
          <w:rtl w:val="0"/>
        </w:rPr>
        <w:t>dej zmianie danych dostawcy.</w:t>
      </w:r>
    </w:p>
    <w:p>
      <w:pPr>
        <w:pStyle w:val="List Paragraph"/>
        <w:numPr>
          <w:ilvl w:val="2"/>
          <w:numId w:val="16"/>
        </w:numPr>
        <w:jc w:val="both"/>
      </w:pPr>
      <w:r>
        <w:rPr>
          <w:rtl w:val="0"/>
        </w:rPr>
        <w:t xml:space="preserve"> Zabronione jest przyjmowanie dostaw produkt</w:t>
      </w:r>
      <w:r>
        <w:rPr>
          <w:rtl w:val="0"/>
          <w:lang w:val="es-ES_tradnl"/>
        </w:rPr>
        <w:t>ó</w:t>
      </w:r>
      <w:r>
        <w:rPr>
          <w:rtl w:val="0"/>
        </w:rPr>
        <w:t>w leczniczych oraz wyrob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medycznych i </w:t>
      </w:r>
      <w:r>
        <w:rPr>
          <w:rtl w:val="0"/>
        </w:rPr>
        <w:t>ś</w:t>
      </w:r>
      <w:r>
        <w:rPr>
          <w:rtl w:val="0"/>
        </w:rPr>
        <w:t>rodk</w:t>
      </w:r>
      <w:r>
        <w:rPr>
          <w:rtl w:val="0"/>
          <w:lang w:val="es-ES_tradnl"/>
        </w:rPr>
        <w:t>ó</w:t>
      </w:r>
      <w:r>
        <w:rPr>
          <w:rtl w:val="0"/>
        </w:rPr>
        <w:t>w spo</w:t>
      </w:r>
      <w:r>
        <w:rPr>
          <w:rtl w:val="0"/>
        </w:rPr>
        <w:t>ż</w:t>
      </w:r>
      <w:r>
        <w:rPr>
          <w:rtl w:val="0"/>
        </w:rPr>
        <w:t xml:space="preserve">ywczych specjalnego przeznaczenia </w:t>
      </w:r>
      <w:r>
        <w:rPr>
          <w:rtl w:val="0"/>
        </w:rPr>
        <w:t>ż</w:t>
      </w:r>
      <w:r>
        <w:rPr>
          <w:rtl w:val="0"/>
        </w:rPr>
        <w:t>ywieniowego obj</w:t>
      </w:r>
      <w:r>
        <w:rPr>
          <w:rtl w:val="0"/>
        </w:rPr>
        <w:t>ę</w:t>
      </w:r>
      <w:r>
        <w:rPr>
          <w:rtl w:val="0"/>
        </w:rPr>
        <w:t>tych refundacj</w:t>
      </w:r>
      <w:r>
        <w:rPr>
          <w:rtl w:val="0"/>
        </w:rPr>
        <w:t xml:space="preserve">ą </w:t>
      </w:r>
      <w:r>
        <w:rPr>
          <w:rtl w:val="0"/>
        </w:rPr>
        <w:t>od nieskwalifikowanych Dostawc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List Paragraph"/>
        <w:numPr>
          <w:ilvl w:val="2"/>
          <w:numId w:val="16"/>
        </w:numPr>
        <w:jc w:val="both"/>
      </w:pPr>
      <w:r>
        <w:rPr>
          <w:rtl w:val="0"/>
        </w:rPr>
        <w:t xml:space="preserve"> Dostawcami mog</w:t>
      </w:r>
      <w:r>
        <w:rPr>
          <w:rtl w:val="0"/>
        </w:rPr>
        <w:t xml:space="preserve">ą </w:t>
      </w:r>
      <w:r>
        <w:rPr>
          <w:rtl w:val="0"/>
        </w:rPr>
        <w:t>by</w:t>
      </w:r>
      <w:r>
        <w:rPr>
          <w:rtl w:val="0"/>
        </w:rPr>
        <w:t xml:space="preserve">ć </w:t>
      </w:r>
      <w:r>
        <w:rPr>
          <w:rtl w:val="0"/>
        </w:rPr>
        <w:t>wy</w:t>
      </w:r>
      <w:r>
        <w:rPr>
          <w:rtl w:val="0"/>
        </w:rPr>
        <w:t>łą</w:t>
      </w:r>
      <w:r>
        <w:rPr>
          <w:rtl w:val="0"/>
        </w:rPr>
        <w:t>cznie podmioty posiadaj</w:t>
      </w:r>
      <w:r>
        <w:rPr>
          <w:rtl w:val="0"/>
        </w:rPr>
        <w:t>ą</w:t>
      </w:r>
      <w:r>
        <w:rPr>
          <w:rtl w:val="0"/>
        </w:rPr>
        <w:t>ce zezwolenia na prowadzenie obrotu hurtowego produktami leczniczymi.</w:t>
      </w:r>
    </w:p>
    <w:p>
      <w:pPr>
        <w:pStyle w:val="List Paragraph"/>
        <w:numPr>
          <w:ilvl w:val="2"/>
          <w:numId w:val="16"/>
        </w:numPr>
        <w:jc w:val="both"/>
      </w:pPr>
      <w:r>
        <w:rPr>
          <w:rtl w:val="0"/>
        </w:rPr>
        <w:t>Uprawnienia Dostawc</w:t>
      </w:r>
      <w:r>
        <w:rPr>
          <w:rtl w:val="0"/>
          <w:lang w:val="es-ES_tradnl"/>
        </w:rPr>
        <w:t>ó</w:t>
      </w:r>
      <w:r>
        <w:rPr>
          <w:rtl w:val="0"/>
        </w:rPr>
        <w:t>w mo</w:t>
      </w:r>
      <w:r>
        <w:rPr>
          <w:rtl w:val="0"/>
        </w:rPr>
        <w:t>ż</w:t>
      </w:r>
      <w:r>
        <w:rPr>
          <w:rtl w:val="0"/>
        </w:rPr>
        <w:t>na zweryfikowa</w:t>
      </w:r>
      <w:r>
        <w:rPr>
          <w:rtl w:val="0"/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platformie rejestr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medycznych w katalogu Rejestr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hurtowni farmaceutycznych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"https://rejestrymedyczne.ezdrowie.gov.pl/rhf"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https://rejestrymedyczne.ezdrowie.gov.pl/rhf</w:t>
      </w:r>
      <w:r>
        <w:rPr/>
        <w:fldChar w:fldCharType="end" w:fldLock="0"/>
      </w:r>
    </w:p>
    <w:p>
      <w:pPr>
        <w:pStyle w:val="List Paragraph"/>
        <w:ind w:left="1355" w:firstLine="0"/>
        <w:jc w:val="both"/>
      </w:pPr>
      <w:r>
        <w:rPr>
          <w:rtl w:val="0"/>
        </w:rPr>
        <w:t xml:space="preserve"> lub na stronie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"http://eudragmdp.ema.europa.eu/inspections/view/wda/searchWDA.xhtml"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eudragmdp.ema.europa.eu/inspections/view/wda/searchWDA.xhtml</w:t>
      </w:r>
      <w:r>
        <w:rPr/>
        <w:fldChar w:fldCharType="end" w:fldLock="0"/>
      </w:r>
      <w:r>
        <w:rPr>
          <w:rtl w:val="0"/>
        </w:rPr>
        <w:t xml:space="preserve"> (w przypadku kontrahent</w:t>
      </w:r>
      <w:r>
        <w:rPr>
          <w:rtl w:val="0"/>
          <w:lang w:val="es-ES_tradnl"/>
        </w:rPr>
        <w:t>ó</w:t>
      </w:r>
      <w:r>
        <w:rPr>
          <w:rtl w:val="0"/>
        </w:rPr>
        <w:t>w w innych kraj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 EU)</w:t>
      </w:r>
    </w:p>
    <w:p>
      <w:pPr>
        <w:pStyle w:val="List Paragraph"/>
        <w:numPr>
          <w:ilvl w:val="2"/>
          <w:numId w:val="16"/>
        </w:numPr>
        <w:jc w:val="both"/>
      </w:pPr>
      <w:r>
        <w:rPr>
          <w:rtl w:val="0"/>
        </w:rPr>
        <w:t>Kierownik Apteki weryfikuje pobrane dokumenty oraz sprawdza, czy zezwolenie jest aktualne oraz czy obejmuje zakres oferowanych produkt</w:t>
      </w:r>
      <w:r>
        <w:rPr>
          <w:rtl w:val="0"/>
          <w:lang w:val="es-ES_tradnl"/>
        </w:rPr>
        <w:t>ó</w:t>
      </w:r>
      <w:r>
        <w:rPr>
          <w:rtl w:val="0"/>
        </w:rPr>
        <w:t>w. Dane pobrane z rejestr</w:t>
      </w:r>
      <w:r>
        <w:rPr>
          <w:rtl w:val="0"/>
          <w:lang w:val="es-ES_tradnl"/>
        </w:rPr>
        <w:t>ó</w:t>
      </w:r>
      <w:r>
        <w:rPr>
          <w:rtl w:val="0"/>
        </w:rPr>
        <w:t>w zapisywane s</w:t>
      </w:r>
      <w:r>
        <w:rPr>
          <w:rtl w:val="0"/>
        </w:rPr>
        <w:t xml:space="preserve">ą </w:t>
      </w:r>
      <w:r>
        <w:rPr>
          <w:rtl w:val="0"/>
        </w:rPr>
        <w:t>w wersji elektronicznej na dysku twardym komputera zabezpieczone przed nieuprawnionym dost</w:t>
      </w:r>
      <w:r>
        <w:rPr>
          <w:rtl w:val="0"/>
        </w:rPr>
        <w:t>ę</w:t>
      </w:r>
      <w:r>
        <w:rPr>
          <w:rtl w:val="0"/>
        </w:rPr>
        <w:t>pem.</w:t>
      </w:r>
    </w:p>
    <w:p>
      <w:pPr>
        <w:pStyle w:val="List Paragraph"/>
        <w:numPr>
          <w:ilvl w:val="2"/>
          <w:numId w:val="16"/>
        </w:numPr>
        <w:jc w:val="both"/>
      </w:pPr>
      <w:r>
        <w:rPr>
          <w:rtl w:val="0"/>
        </w:rPr>
        <w:t>W przypadku braku zgodno</w:t>
      </w:r>
      <w:r>
        <w:rPr>
          <w:rtl w:val="0"/>
        </w:rPr>
        <w:t>ś</w:t>
      </w:r>
      <w:r>
        <w:rPr>
          <w:rtl w:val="0"/>
        </w:rPr>
        <w:t>ci nie nale</w:t>
      </w:r>
      <w:r>
        <w:rPr>
          <w:rtl w:val="0"/>
        </w:rPr>
        <w:t>ż</w:t>
      </w:r>
      <w:r>
        <w:rPr>
          <w:rtl w:val="0"/>
        </w:rPr>
        <w:t>y rozpoczyna</w:t>
      </w:r>
      <w:r>
        <w:rPr>
          <w:rtl w:val="0"/>
        </w:rPr>
        <w:t xml:space="preserve">ć </w:t>
      </w:r>
      <w:r>
        <w:rPr>
          <w:rtl w:val="0"/>
        </w:rPr>
        <w:t>wsp</w:t>
      </w:r>
      <w:r>
        <w:rPr>
          <w:rtl w:val="0"/>
        </w:rPr>
        <w:t>ół</w:t>
      </w:r>
      <w:r>
        <w:rPr>
          <w:rtl w:val="0"/>
        </w:rPr>
        <w:t>pracy z danym Dostawc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List Paragraph"/>
        <w:numPr>
          <w:ilvl w:val="2"/>
          <w:numId w:val="16"/>
        </w:numPr>
        <w:jc w:val="both"/>
      </w:pPr>
      <w:r>
        <w:rPr>
          <w:rtl w:val="0"/>
        </w:rPr>
        <w:t>W przypadku zgodno</w:t>
      </w:r>
      <w:r>
        <w:rPr>
          <w:rtl w:val="0"/>
        </w:rPr>
        <w:t>ś</w:t>
      </w:r>
      <w:r>
        <w:rPr>
          <w:rtl w:val="0"/>
        </w:rPr>
        <w:t>ci danych, Dostawca jest zatwierdzany i zak</w:t>
      </w:r>
      <w:r>
        <w:rPr>
          <w:rtl w:val="0"/>
        </w:rPr>
        <w:t>ł</w:t>
      </w:r>
      <w:r>
        <w:rPr>
          <w:rtl w:val="0"/>
        </w:rPr>
        <w:t>adana jest karta nowego Dostawcy w systemie komputerowym</w:t>
      </w:r>
    </w:p>
    <w:p>
      <w:pPr>
        <w:pStyle w:val="List Paragraph"/>
        <w:ind w:left="360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Wersja 1  (np. je</w:t>
      </w:r>
      <w:r>
        <w:rPr>
          <w:outline w:val="0"/>
          <w:color w:val="00000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li dostawc</w:t>
      </w:r>
      <w:r>
        <w:rPr>
          <w:outline w:val="0"/>
          <w:color w:val="000000"/>
          <w:u w:color="000000"/>
          <w:shd w:val="clear" w:color="auto" w:fill="ffff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w jest ma</w:t>
      </w:r>
      <w:r>
        <w:rPr>
          <w:outline w:val="0"/>
          <w:color w:val="000000"/>
          <w:u w:color="000000"/>
          <w:shd w:val="clear" w:color="auto" w:fill="ffff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shd w:val="clear" w:color="auto" w:fill="ffff00"/>
          <w:rtl w:val="0"/>
          <w:lang w:val="it-IT"/>
          <w14:textFill>
            <w14:solidFill>
              <w14:srgbClr w14:val="000000"/>
            </w14:solidFill>
          </w14:textFill>
        </w:rPr>
        <w:t>o)</w:t>
      </w:r>
    </w:p>
    <w:p>
      <w:pPr>
        <w:pStyle w:val="List Paragraph"/>
        <w:ind w:left="1355" w:firstLine="0"/>
        <w:jc w:val="both"/>
      </w:pPr>
      <w:r>
        <w:br w:type="textWrapping"/>
      </w:r>
      <w:commentRangeStart w:id="5"/>
    </w:p>
    <w:p>
      <w:pPr>
        <w:pStyle w:val="List Paragraph"/>
        <w:numPr>
          <w:ilvl w:val="2"/>
          <w:numId w:val="16"/>
        </w:numPr>
        <w:jc w:val="both"/>
      </w:pPr>
      <w:r>
        <w:rPr>
          <w:rtl w:val="0"/>
        </w:rPr>
        <w:t>Wyniki analizy odnotowywane s</w:t>
      </w:r>
      <w:r>
        <w:rPr>
          <w:rtl w:val="0"/>
        </w:rPr>
        <w:t xml:space="preserve">ą </w:t>
      </w:r>
      <w:r>
        <w:rPr>
          <w:rtl w:val="0"/>
        </w:rPr>
        <w:t>w formularzu kwalifikacyjnym (zgodnie ze wzorem   stanowi</w:t>
      </w:r>
      <w:r>
        <w:rPr>
          <w:rtl w:val="0"/>
        </w:rPr>
        <w:t>ą</w:t>
      </w:r>
      <w:r>
        <w:rPr>
          <w:rtl w:val="0"/>
        </w:rPr>
        <w:t>cym za</w:t>
      </w:r>
      <w:r>
        <w:rPr>
          <w:rtl w:val="0"/>
        </w:rPr>
        <w:t>łą</w:t>
      </w:r>
      <w:r>
        <w:rPr>
          <w:rtl w:val="0"/>
        </w:rPr>
        <w:t>cznik nr 2 i zatwierdzane przez Kierownika Apteki</w:t>
      </w:r>
    </w:p>
    <w:p>
      <w:pPr>
        <w:pStyle w:val="List Paragraph"/>
        <w:ind w:left="1418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lub</w:t>
      </w:r>
    </w:p>
    <w:p>
      <w:pPr>
        <w:pStyle w:val="Normal.0"/>
        <w:jc w:val="both"/>
      </w:pPr>
      <w:r>
        <w:rPr>
          <w:rtl w:val="0"/>
        </w:rPr>
        <w:t xml:space="preserve">        </w:t>
      </w:r>
      <w:r>
        <w:rPr>
          <w:shd w:val="clear" w:color="auto" w:fill="ffff00"/>
          <w:rtl w:val="0"/>
        </w:rPr>
        <w:t>Wersja 2 (np. je</w:t>
      </w:r>
      <w:r>
        <w:rPr>
          <w:shd w:val="clear" w:color="auto" w:fill="ffff00"/>
          <w:rtl w:val="0"/>
        </w:rPr>
        <w:t>ś</w:t>
      </w:r>
      <w:r>
        <w:rPr>
          <w:shd w:val="clear" w:color="auto" w:fill="ffff00"/>
          <w:rtl w:val="0"/>
        </w:rPr>
        <w:t>li dostawc</w:t>
      </w:r>
      <w:r>
        <w:rPr>
          <w:shd w:val="clear" w:color="auto" w:fill="ffff00"/>
          <w:rtl w:val="0"/>
          <w:lang w:val="es-ES_tradnl"/>
        </w:rPr>
        <w:t>ó</w:t>
      </w:r>
      <w:r>
        <w:rPr>
          <w:shd w:val="clear" w:color="auto" w:fill="ffff00"/>
          <w:rtl w:val="0"/>
        </w:rPr>
        <w:t>w jest du</w:t>
      </w:r>
      <w:r>
        <w:rPr>
          <w:shd w:val="clear" w:color="auto" w:fill="ffff00"/>
          <w:rtl w:val="0"/>
        </w:rPr>
        <w:t>ż</w:t>
      </w:r>
      <w:r>
        <w:rPr>
          <w:shd w:val="clear" w:color="auto" w:fill="ffff00"/>
          <w:rtl w:val="0"/>
        </w:rPr>
        <w:t xml:space="preserve">o </w:t>
      </w:r>
      <w:r>
        <w:rPr>
          <w:shd w:val="clear" w:color="auto" w:fill="ffff00"/>
          <w:rtl w:val="0"/>
        </w:rPr>
        <w:t xml:space="preserve">– </w:t>
      </w:r>
      <w:r>
        <w:rPr>
          <w:shd w:val="clear" w:color="auto" w:fill="ffff00"/>
          <w:rtl w:val="0"/>
        </w:rPr>
        <w:t>wersja uproszczona)</w:t>
      </w:r>
    </w:p>
    <w:p>
      <w:pPr>
        <w:pStyle w:val="List Paragraph"/>
        <w:numPr>
          <w:ilvl w:val="2"/>
          <w:numId w:val="17"/>
        </w:numPr>
        <w:jc w:val="both"/>
      </w:pPr>
      <w:r>
        <w:rPr>
          <w:rtl w:val="0"/>
        </w:rPr>
        <w:t>Kierownik Apteki odnotowuje wyniki weryfikacji na li</w:t>
      </w:r>
      <w:r>
        <w:rPr>
          <w:rtl w:val="0"/>
        </w:rPr>
        <w:t>ś</w:t>
      </w:r>
      <w:r>
        <w:rPr>
          <w:rtl w:val="0"/>
        </w:rPr>
        <w:t>cie skwalifikowanych dostawc</w:t>
      </w:r>
      <w:r>
        <w:rPr>
          <w:rtl w:val="0"/>
          <w:lang w:val="es-ES_tradnl"/>
        </w:rPr>
        <w:t>ó</w:t>
      </w:r>
      <w:r>
        <w:rPr>
          <w:rtl w:val="0"/>
        </w:rPr>
        <w:t>w (</w:t>
      </w: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01</w:t>
      </w:r>
      <w:commentRangeEnd w:id="5"/>
      <w:r>
        <w:commentReference w:id="5"/>
      </w:r>
      <w:r>
        <w:rPr>
          <w:rtl w:val="0"/>
        </w:rPr>
        <w:t xml:space="preserve">) </w:t>
      </w:r>
    </w:p>
    <w:p>
      <w:pPr>
        <w:pStyle w:val="List Paragraph"/>
        <w:ind w:left="1276" w:firstLine="0"/>
        <w:jc w:val="both"/>
      </w:pPr>
    </w:p>
    <w:p>
      <w:pPr>
        <w:pStyle w:val="List Paragraph"/>
        <w:numPr>
          <w:ilvl w:val="2"/>
          <w:numId w:val="18"/>
        </w:numPr>
        <w:jc w:val="both"/>
      </w:pPr>
      <w:r>
        <w:rPr>
          <w:rtl w:val="0"/>
        </w:rPr>
        <w:t>Kopia listy skwalifikowanych Dostawc</w:t>
      </w:r>
      <w:r>
        <w:rPr>
          <w:rtl w:val="0"/>
          <w:lang w:val="es-ES_tradnl"/>
        </w:rPr>
        <w:t>ó</w:t>
      </w:r>
      <w:r>
        <w:rPr>
          <w:rtl w:val="0"/>
        </w:rPr>
        <w:t>w umieszczana jest w miejscu dost</w:t>
      </w:r>
      <w:r>
        <w:rPr>
          <w:rtl w:val="0"/>
        </w:rPr>
        <w:t>ę</w:t>
      </w:r>
      <w:r>
        <w:rPr>
          <w:rtl w:val="0"/>
        </w:rPr>
        <w:t>pnym dla personelu fachowego apteki (np. w komorze przyj</w:t>
      </w:r>
      <w:r>
        <w:rPr>
          <w:rtl w:val="0"/>
        </w:rPr>
        <w:t>ęć</w:t>
      </w:r>
      <w:r>
        <w:rPr>
          <w:rtl w:val="0"/>
        </w:rPr>
        <w:t>). Kierownik Apteki odpowiada za aktualno</w:t>
      </w:r>
      <w:r>
        <w:rPr>
          <w:rtl w:val="0"/>
        </w:rPr>
        <w:t xml:space="preserve">ść </w:t>
      </w:r>
      <w:r>
        <w:rPr>
          <w:rtl w:val="0"/>
        </w:rPr>
        <w:t>listy skwalifikowanych dostawc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List Paragraph"/>
        <w:numPr>
          <w:ilvl w:val="2"/>
          <w:numId w:val="18"/>
        </w:numPr>
        <w:jc w:val="both"/>
      </w:pPr>
      <w:r>
        <w:rPr>
          <w:rtl w:val="0"/>
        </w:rPr>
        <w:t>Kierownika Apteki, archiwizuje dokumenty zwi</w:t>
      </w:r>
      <w:r>
        <w:rPr>
          <w:rtl w:val="0"/>
        </w:rPr>
        <w:t>ą</w:t>
      </w:r>
      <w:r>
        <w:rPr>
          <w:rtl w:val="0"/>
        </w:rPr>
        <w:t>zane z kwalifikacj</w:t>
      </w:r>
      <w:r>
        <w:rPr>
          <w:rtl w:val="0"/>
        </w:rPr>
        <w:t xml:space="preserve">ą </w:t>
      </w:r>
      <w:r>
        <w:rPr>
          <w:rtl w:val="0"/>
        </w:rPr>
        <w:t>dostawc</w:t>
      </w:r>
      <w:r>
        <w:rPr>
          <w:rtl w:val="0"/>
          <w:lang w:val="es-ES_tradnl"/>
        </w:rPr>
        <w:t>ó</w:t>
      </w:r>
      <w:r>
        <w:rPr>
          <w:rtl w:val="0"/>
        </w:rPr>
        <w:t xml:space="preserve">w. </w:t>
      </w:r>
    </w:p>
    <w:p>
      <w:pPr>
        <w:pStyle w:val="List Paragraph"/>
        <w:numPr>
          <w:ilvl w:val="1"/>
          <w:numId w:val="19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Weryfikacja dostawc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</w:t>
      </w:r>
    </w:p>
    <w:p>
      <w:pPr>
        <w:pStyle w:val="List Paragraph"/>
        <w:numPr>
          <w:ilvl w:val="2"/>
          <w:numId w:val="19"/>
        </w:numPr>
        <w:jc w:val="both"/>
      </w:pPr>
      <w:r>
        <w:rPr>
          <w:rtl w:val="0"/>
        </w:rPr>
        <w:t>Skwalifikowani Dostawcy podlegaj</w:t>
      </w:r>
      <w:r>
        <w:rPr>
          <w:rtl w:val="0"/>
        </w:rPr>
        <w:t xml:space="preserve">ą </w:t>
      </w:r>
      <w:r>
        <w:rPr>
          <w:rtl w:val="0"/>
        </w:rPr>
        <w:t>okresowej weryfikacji. Weryfikacja aktualno</w:t>
      </w:r>
      <w:r>
        <w:rPr>
          <w:rtl w:val="0"/>
        </w:rPr>
        <w:t>ś</w:t>
      </w:r>
      <w:r>
        <w:rPr>
          <w:rtl w:val="0"/>
        </w:rPr>
        <w:t>ci uprawnie</w:t>
      </w:r>
      <w:r>
        <w:rPr>
          <w:rtl w:val="0"/>
        </w:rPr>
        <w:t xml:space="preserve">ń </w:t>
      </w:r>
      <w:r>
        <w:rPr>
          <w:rtl w:val="0"/>
        </w:rPr>
        <w:t>Dostawc</w:t>
      </w:r>
      <w:r>
        <w:rPr>
          <w:rtl w:val="0"/>
          <w:lang w:val="es-ES_tradnl"/>
        </w:rPr>
        <w:t>ó</w:t>
      </w:r>
      <w:r>
        <w:rPr>
          <w:rtl w:val="0"/>
        </w:rPr>
        <w:t>w odbywa si</w:t>
      </w:r>
      <w:r>
        <w:rPr>
          <w:rtl w:val="0"/>
        </w:rPr>
        <w:t>ę</w:t>
      </w:r>
    </w:p>
    <w:p>
      <w:pPr>
        <w:pStyle w:val="List Paragraph"/>
        <w:ind w:left="1355" w:firstLine="0"/>
        <w:jc w:val="both"/>
      </w:pPr>
      <w:r>
        <w:rPr>
          <w:shd w:val="clear" w:color="auto" w:fill="ffff00"/>
          <w:rtl w:val="0"/>
        </w:rPr>
        <w:t>Wed</w:t>
      </w:r>
      <w:r>
        <w:rPr>
          <w:shd w:val="clear" w:color="auto" w:fill="ffff00"/>
          <w:rtl w:val="0"/>
        </w:rPr>
        <w:t>ł</w:t>
      </w:r>
      <w:r>
        <w:rPr>
          <w:shd w:val="clear" w:color="auto" w:fill="ffff00"/>
          <w:rtl w:val="0"/>
        </w:rPr>
        <w:t>ug Wersji 1</w:t>
      </w:r>
      <w:r>
        <w:rPr>
          <w:rtl w:val="0"/>
        </w:rPr>
        <w:t>:</w:t>
      </w:r>
    </w:p>
    <w:p>
      <w:pPr>
        <w:pStyle w:val="List Paragraph"/>
        <w:ind w:left="1355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raz w tygodniu. W rejestrze hurtowni filtrowane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zezwolenie cofni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te, wygaszone lub zmienione. Nale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sprawdzi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czy w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 nich nie ma hurtowni, z 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rymi wsp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pracuje apteka. </w:t>
      </w:r>
    </w:p>
    <w:p>
      <w:pPr>
        <w:pStyle w:val="List Paragraph"/>
        <w:numPr>
          <w:ilvl w:val="2"/>
          <w:numId w:val="19"/>
        </w:numPr>
        <w:bidi w:val="0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eli cofni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to lub wygaszono zezwolenie, nale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zablokowa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Dostawc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systemie komputerowym oraz zaktualizowa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skwalifikowanych Dostawc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(wykre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dostawc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 listy).</w:t>
      </w:r>
    </w:p>
    <w:p>
      <w:pPr>
        <w:pStyle w:val="List Paragraph"/>
        <w:numPr>
          <w:ilvl w:val="2"/>
          <w:numId w:val="19"/>
        </w:numPr>
        <w:bidi w:val="0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zezwolenie zosta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 zaktualizowano, nale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sprawdzi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czy zakres zmian wp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ywa na wsp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prace z aptek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 je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 tak zaktualizowa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list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skwalifikowanych Dostawc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List Paragraph"/>
        <w:numPr>
          <w:ilvl w:val="2"/>
          <w:numId w:val="19"/>
        </w:numPr>
        <w:bidi w:val="0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Powy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sze czynno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dokumentowane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formie zrzut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 ekranu i przechowywane w chronologicznie w zabezpieczonym miejscu.</w:t>
      </w:r>
    </w:p>
    <w:p>
      <w:pPr>
        <w:pStyle w:val="Normal.0"/>
        <w:jc w:val="both"/>
      </w:pPr>
      <w:r>
        <w:rPr>
          <w:rtl w:val="0"/>
        </w:rPr>
        <w:t xml:space="preserve">                </w:t>
      </w:r>
      <w:r>
        <w:rPr>
          <w:shd w:val="clear" w:color="auto" w:fill="ffff00"/>
          <w:rtl w:val="0"/>
        </w:rPr>
        <w:t>lub wed</w:t>
      </w:r>
      <w:r>
        <w:rPr>
          <w:shd w:val="clear" w:color="auto" w:fill="ffff00"/>
          <w:rtl w:val="0"/>
        </w:rPr>
        <w:t>ł</w:t>
      </w:r>
      <w:r>
        <w:rPr>
          <w:shd w:val="clear" w:color="auto" w:fill="ffff00"/>
          <w:rtl w:val="0"/>
        </w:rPr>
        <w:t>ug Wersja 2</w:t>
      </w:r>
      <w:r>
        <w:rPr>
          <w:rtl w:val="0"/>
        </w:rPr>
        <w:t>:</w:t>
      </w:r>
    </w:p>
    <w:p>
      <w:pPr>
        <w:pStyle w:val="List Paragraph"/>
        <w:ind w:left="1355" w:firstLine="0"/>
        <w:jc w:val="both"/>
      </w:pPr>
      <w:r>
        <w:rPr>
          <w:rtl w:val="0"/>
        </w:rPr>
        <w:t>w cyklach co najmniej kwartalnych. Weryfikowane s</w:t>
      </w:r>
      <w:r>
        <w:rPr>
          <w:rtl w:val="0"/>
        </w:rPr>
        <w:t>ą</w:t>
      </w:r>
      <w:r>
        <w:rPr>
          <w:rtl w:val="0"/>
        </w:rPr>
        <w:t>: aktualno</w:t>
      </w:r>
      <w:r>
        <w:rPr>
          <w:rtl w:val="0"/>
        </w:rPr>
        <w:t xml:space="preserve">ść </w:t>
      </w:r>
      <w:r>
        <w:rPr>
          <w:rtl w:val="0"/>
        </w:rPr>
        <w:t>pozwolenie oraz ich zakres. Wyniki okresowej weryfikacji dostawc</w:t>
      </w:r>
      <w:r>
        <w:rPr>
          <w:rtl w:val="0"/>
          <w:lang w:val="es-ES_tradnl"/>
        </w:rPr>
        <w:t>ó</w:t>
      </w:r>
      <w:r>
        <w:rPr>
          <w:rtl w:val="0"/>
        </w:rPr>
        <w:t>w dokumentowane s</w:t>
      </w:r>
      <w:r>
        <w:rPr>
          <w:rtl w:val="0"/>
        </w:rPr>
        <w:t xml:space="preserve">ą </w:t>
      </w:r>
      <w:r>
        <w:rPr>
          <w:rtl w:val="0"/>
        </w:rPr>
        <w:t>zgodnie z za</w:t>
      </w:r>
      <w:r>
        <w:rPr>
          <w:rtl w:val="0"/>
        </w:rPr>
        <w:t>łą</w:t>
      </w:r>
      <w:r>
        <w:rPr>
          <w:rtl w:val="0"/>
        </w:rPr>
        <w:t xml:space="preserve">cznikiem nr 3. </w:t>
      </w:r>
    </w:p>
    <w:p>
      <w:pPr>
        <w:pStyle w:val="List Paragraph"/>
        <w:numPr>
          <w:ilvl w:val="2"/>
          <w:numId w:val="20"/>
        </w:numPr>
        <w:spacing w:after="0"/>
        <w:jc w:val="both"/>
      </w:pPr>
      <w:r>
        <w:rPr>
          <w:rtl w:val="0"/>
        </w:rPr>
        <w:t>W przypadku stwierdzenia braku uprawnie</w:t>
      </w:r>
      <w:r>
        <w:rPr>
          <w:rtl w:val="0"/>
        </w:rPr>
        <w:t xml:space="preserve">ń </w:t>
      </w:r>
      <w:r>
        <w:rPr>
          <w:rtl w:val="0"/>
        </w:rPr>
        <w:t>do dostarczania produkt</w:t>
      </w:r>
      <w:r>
        <w:rPr>
          <w:rtl w:val="0"/>
          <w:lang w:val="es-ES_tradnl"/>
        </w:rPr>
        <w:t>ó</w:t>
      </w:r>
      <w:r>
        <w:rPr>
          <w:rtl w:val="0"/>
        </w:rPr>
        <w:t>w leczniczych, Kierownik Apteki informuje podleg</w:t>
      </w:r>
      <w:r>
        <w:rPr>
          <w:rtl w:val="0"/>
        </w:rPr>
        <w:t>ł</w:t>
      </w:r>
      <w:r>
        <w:rPr>
          <w:rtl w:val="0"/>
        </w:rPr>
        <w:t>y personel, blokuje kart</w:t>
      </w:r>
      <w:r>
        <w:rPr>
          <w:rtl w:val="0"/>
        </w:rPr>
        <w:t xml:space="preserve">ę </w:t>
      </w:r>
      <w:r>
        <w:rPr>
          <w:rtl w:val="0"/>
        </w:rPr>
        <w:t>dostawcy w systemie komputerowym oraz aktualizuje list</w:t>
      </w:r>
      <w:r>
        <w:rPr>
          <w:rtl w:val="0"/>
        </w:rPr>
        <w:t xml:space="preserve">ę </w:t>
      </w:r>
      <w:r>
        <w:rPr>
          <w:rtl w:val="0"/>
        </w:rPr>
        <w:t>uprawnionych Odbiorc</w:t>
      </w:r>
      <w:r>
        <w:rPr>
          <w:rtl w:val="0"/>
          <w:lang w:val="es-ES_tradnl"/>
        </w:rPr>
        <w:t>ó</w:t>
      </w:r>
      <w:r>
        <w:rPr>
          <w:rtl w:val="0"/>
        </w:rPr>
        <w:t xml:space="preserve">w. </w:t>
      </w:r>
    </w:p>
    <w:p>
      <w:pPr>
        <w:pStyle w:val="List Paragraph"/>
        <w:numPr>
          <w:ilvl w:val="2"/>
          <w:numId w:val="20"/>
        </w:numPr>
        <w:spacing w:after="0"/>
        <w:jc w:val="both"/>
      </w:pPr>
      <w:r>
        <w:rPr>
          <w:rtl w:val="0"/>
        </w:rPr>
        <w:t>Zabronione jest przyjmowanie Produkt</w:t>
      </w:r>
      <w:r>
        <w:rPr>
          <w:rtl w:val="0"/>
          <w:lang w:val="es-ES_tradnl"/>
        </w:rPr>
        <w:t>ó</w:t>
      </w:r>
      <w:r>
        <w:rPr>
          <w:rtl w:val="0"/>
        </w:rPr>
        <w:t>w od podmiot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nieuprawnionych </w:t>
      </w:r>
    </w:p>
    <w:p>
      <w:pPr>
        <w:pStyle w:val="List Paragraph"/>
        <w:ind w:left="1276" w:firstLine="0"/>
        <w:jc w:val="both"/>
      </w:pPr>
    </w:p>
    <w:p>
      <w:pPr>
        <w:pStyle w:val="List Paragraph"/>
        <w:spacing w:after="120"/>
        <w:jc w:val="both"/>
        <w:rPr>
          <w:b w:val="1"/>
          <w:bCs w:val="1"/>
        </w:rPr>
      </w:pPr>
    </w:p>
    <w:p>
      <w:pPr>
        <w:pStyle w:val="List Paragraph"/>
        <w:spacing w:after="120"/>
        <w:jc w:val="both"/>
        <w:rPr>
          <w:b w:val="1"/>
          <w:bCs w:val="1"/>
        </w:rPr>
      </w:pPr>
    </w:p>
    <w:p>
      <w:pPr>
        <w:pStyle w:val="heading 2"/>
        <w:numPr>
          <w:ilvl w:val="0"/>
          <w:numId w:val="21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Toc5" w:id="6"/>
      <w:r>
        <w:rPr>
          <w:rFonts w:ascii="Calibri" w:hAnsi="Calibri"/>
          <w:sz w:val="22"/>
          <w:szCs w:val="22"/>
          <w:rtl w:val="0"/>
        </w:rPr>
        <w:t>Referencje i za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>czniki</w:t>
      </w:r>
      <w:bookmarkEnd w:id="6"/>
    </w:p>
    <w:p>
      <w:pPr>
        <w:pStyle w:val="List Paragraph"/>
        <w:numPr>
          <w:ilvl w:val="1"/>
          <w:numId w:val="1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Referencje</w:t>
      </w:r>
    </w:p>
    <w:p>
      <w:pPr>
        <w:pStyle w:val="List Paragraph"/>
        <w:numPr>
          <w:ilvl w:val="2"/>
          <w:numId w:val="12"/>
        </w:numPr>
        <w:bidi w:val="0"/>
        <w:ind w:right="0"/>
        <w:jc w:val="both"/>
        <w:rPr>
          <w:rtl w:val="0"/>
        </w:rPr>
      </w:pPr>
      <w:r>
        <w:rPr>
          <w:rtl w:val="0"/>
        </w:rPr>
        <w:t>SOP-XX Przyjmowanie dostaw</w:t>
      </w:r>
    </w:p>
    <w:p>
      <w:pPr>
        <w:pStyle w:val="List Paragraph"/>
        <w:numPr>
          <w:ilvl w:val="1"/>
          <w:numId w:val="1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czniki</w:t>
      </w:r>
    </w:p>
    <w:p>
      <w:pPr>
        <w:pStyle w:val="List Paragraph"/>
        <w:numPr>
          <w:ilvl w:val="2"/>
          <w:numId w:val="1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 xml:space="preserve">cznik nr 1: </w:t>
      </w:r>
      <w:r>
        <w:rPr>
          <w:b w:val="0"/>
          <w:bCs w:val="0"/>
          <w:rtl w:val="0"/>
        </w:rPr>
        <w:t>Lista skwalifikowanych Dostawc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w produkt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 xml:space="preserve">w leczniczych oraz </w:t>
      </w:r>
      <w:r>
        <w:rPr>
          <w:b w:val="0"/>
          <w:bCs w:val="0"/>
          <w:rtl w:val="0"/>
        </w:rPr>
        <w:t>ś</w:t>
      </w:r>
      <w:r>
        <w:rPr>
          <w:b w:val="0"/>
          <w:bCs w:val="0"/>
          <w:rtl w:val="0"/>
        </w:rPr>
        <w:t>rodk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w spo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 xml:space="preserve">ywczych specjalnego przeznaczenia </w:t>
      </w:r>
      <w:r>
        <w:rPr>
          <w:b w:val="0"/>
          <w:bCs w:val="0"/>
          <w:rtl w:val="0"/>
        </w:rPr>
        <w:t>ż</w:t>
      </w:r>
      <w:r>
        <w:rPr>
          <w:b w:val="0"/>
          <w:bCs w:val="0"/>
          <w:rtl w:val="0"/>
        </w:rPr>
        <w:t>ywieniowego i wyrob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w refundowanych</w:t>
      </w:r>
    </w:p>
    <w:p>
      <w:pPr>
        <w:pStyle w:val="List Paragraph"/>
        <w:numPr>
          <w:ilvl w:val="2"/>
          <w:numId w:val="12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 xml:space="preserve">cznik nr 2: </w:t>
      </w:r>
      <w:r>
        <w:rPr>
          <w:b w:val="0"/>
          <w:bCs w:val="0"/>
          <w:rtl w:val="0"/>
        </w:rPr>
        <w:t>Formularz kwalifikacyjny Dostawc</w:t>
      </w:r>
      <w:r>
        <w:rPr>
          <w:b w:val="0"/>
          <w:bCs w:val="0"/>
          <w:rtl w:val="0"/>
          <w:lang w:val="es-ES_tradnl"/>
        </w:rPr>
        <w:t>ó</w:t>
      </w:r>
      <w:r>
        <w:rPr>
          <w:b w:val="0"/>
          <w:bCs w:val="0"/>
          <w:rtl w:val="0"/>
        </w:rPr>
        <w:t>w (</w:t>
      </w:r>
      <w:r>
        <w:rPr>
          <w:b w:val="0"/>
          <w:bCs w:val="0"/>
          <w:shd w:val="clear" w:color="auto" w:fill="ffff00"/>
          <w:rtl w:val="0"/>
        </w:rPr>
        <w:t>opcjonalnie, w zale</w:t>
      </w:r>
      <w:r>
        <w:rPr>
          <w:b w:val="0"/>
          <w:bCs w:val="0"/>
          <w:shd w:val="clear" w:color="auto" w:fill="ffff00"/>
          <w:rtl w:val="0"/>
        </w:rPr>
        <w:t>ż</w:t>
      </w:r>
      <w:r>
        <w:rPr>
          <w:b w:val="0"/>
          <w:bCs w:val="0"/>
          <w:shd w:val="clear" w:color="auto" w:fill="ffff00"/>
          <w:rtl w:val="0"/>
        </w:rPr>
        <w:t>no</w:t>
      </w:r>
      <w:r>
        <w:rPr>
          <w:b w:val="0"/>
          <w:bCs w:val="0"/>
          <w:shd w:val="clear" w:color="auto" w:fill="ffff00"/>
          <w:rtl w:val="0"/>
        </w:rPr>
        <w:t>ś</w:t>
      </w:r>
      <w:r>
        <w:rPr>
          <w:b w:val="0"/>
          <w:bCs w:val="0"/>
          <w:shd w:val="clear" w:color="auto" w:fill="ffff00"/>
          <w:rtl w:val="0"/>
        </w:rPr>
        <w:t>ci od wybranej wersji)</w:t>
      </w:r>
    </w:p>
    <w:p>
      <w:pPr>
        <w:pStyle w:val="List Paragraph"/>
        <w:numPr>
          <w:ilvl w:val="2"/>
          <w:numId w:val="12"/>
        </w:numPr>
        <w:bidi w:val="0"/>
        <w:ind w:right="0"/>
        <w:jc w:val="both"/>
        <w:rPr>
          <w:rtl w:val="0"/>
        </w:rPr>
        <w:sectPr>
          <w:headerReference w:type="default" r:id="rId4"/>
          <w:footerReference w:type="default" r:id="rId5"/>
          <w:pgSz w:w="11900" w:h="16840" w:orient="portrait"/>
          <w:pgMar w:top="1418" w:right="1418" w:bottom="1418" w:left="1418" w:header="709" w:footer="709"/>
          <w:pgNumType w:start="1"/>
          <w:bidi w:val="0"/>
        </w:sect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 xml:space="preserve">cznik nr 3: </w:t>
      </w:r>
      <w:r>
        <w:rPr>
          <w:rtl w:val="0"/>
        </w:rPr>
        <w:t>Formularz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Okresowej Weryfikacji Dostawc</w:t>
      </w:r>
      <w:r>
        <w:rPr>
          <w:rtl w:val="0"/>
          <w:lang w:val="es-ES_tradnl"/>
        </w:rPr>
        <w:t>ó</w:t>
      </w:r>
      <w:r>
        <w:rPr>
          <w:rtl w:val="0"/>
        </w:rPr>
        <w:t>w (</w:t>
      </w:r>
      <w:r>
        <w:rPr>
          <w:shd w:val="clear" w:color="auto" w:fill="ffff00"/>
          <w:rtl w:val="0"/>
        </w:rPr>
        <w:t>opcjonalnie, w zale</w:t>
      </w:r>
      <w:r>
        <w:rPr>
          <w:shd w:val="clear" w:color="auto" w:fill="ffff00"/>
          <w:rtl w:val="0"/>
        </w:rPr>
        <w:t>ż</w:t>
      </w:r>
      <w:r>
        <w:rPr>
          <w:shd w:val="clear" w:color="auto" w:fill="ffff00"/>
          <w:rtl w:val="0"/>
        </w:rPr>
        <w:t>no</w:t>
      </w:r>
      <w:r>
        <w:rPr>
          <w:shd w:val="clear" w:color="auto" w:fill="ffff00"/>
          <w:rtl w:val="0"/>
        </w:rPr>
        <w:t>ś</w:t>
      </w:r>
      <w:r>
        <w:rPr>
          <w:shd w:val="clear" w:color="auto" w:fill="ffff00"/>
          <w:rtl w:val="0"/>
        </w:rPr>
        <w:t>ci od wybranej wersji)</w:t>
      </w: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1</w:t>
      </w:r>
    </w:p>
    <w:p>
      <w:pPr>
        <w:pStyle w:val="Normal.0"/>
        <w:spacing w:after="0"/>
        <w:jc w:val="center"/>
        <w:rPr>
          <w:b w:val="1"/>
          <w:bCs w:val="1"/>
        </w:rPr>
      </w:pPr>
      <w:r>
        <w:rPr>
          <w:rtl w:val="0"/>
        </w:rPr>
        <w:t>Lista skwalifikowanych Dostawc</w:t>
      </w:r>
      <w:r>
        <w:rPr>
          <w:rtl w:val="0"/>
          <w:lang w:val="es-ES_tradnl"/>
        </w:rPr>
        <w:t>ó</w:t>
      </w:r>
      <w:r>
        <w:rPr>
          <w:rtl w:val="0"/>
        </w:rPr>
        <w:t>w produkt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leczniczych oraz </w:t>
      </w:r>
      <w:r>
        <w:rPr>
          <w:rtl w:val="0"/>
        </w:rPr>
        <w:t>ś</w:t>
      </w:r>
      <w:r>
        <w:rPr>
          <w:rtl w:val="0"/>
        </w:rPr>
        <w:t>rodk</w:t>
      </w:r>
      <w:r>
        <w:rPr>
          <w:rtl w:val="0"/>
          <w:lang w:val="es-ES_tradnl"/>
        </w:rPr>
        <w:t>ó</w:t>
      </w:r>
      <w:r>
        <w:rPr>
          <w:rtl w:val="0"/>
        </w:rPr>
        <w:t>w i wyrob</w:t>
      </w:r>
      <w:r>
        <w:rPr>
          <w:rtl w:val="0"/>
          <w:lang w:val="es-ES_tradnl"/>
        </w:rPr>
        <w:t>ó</w:t>
      </w:r>
      <w:r>
        <w:rPr>
          <w:rtl w:val="0"/>
        </w:rPr>
        <w:t>w refundowanych</w:t>
      </w:r>
    </w:p>
    <w:tbl>
      <w:tblPr>
        <w:tblW w:w="90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0"/>
        <w:gridCol w:w="1260"/>
        <w:gridCol w:w="1696"/>
        <w:gridCol w:w="1621"/>
        <w:gridCol w:w="2084"/>
        <w:gridCol w:w="1913"/>
      </w:tblGrid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LP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Nazwa i adres dostawcy (wystawcy faktury)</w:t>
            </w:r>
          </w:p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Nazwa i adres hurtowni farmaceutycznej (miejsca prowadzenia dzielno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ci)</w:t>
            </w:r>
          </w:p>
        </w:tc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Zakres asortymentowy</w:t>
            </w:r>
          </w:p>
        </w:tc>
        <w:tc>
          <w:tcPr>
            <w:tcW w:type="dxa" w:w="2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Psychotropy/Narkotyki</w:t>
            </w:r>
          </w:p>
        </w:tc>
        <w:tc>
          <w:tcPr>
            <w:tcW w:type="dxa" w:w="1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Prekursory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  <w:rPr>
          <w:b w:val="1"/>
          <w:bCs w:val="1"/>
        </w:rPr>
      </w:pPr>
    </w:p>
    <w:p>
      <w:pPr>
        <w:pStyle w:val="Normal.0"/>
        <w:spacing w:after="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Data i podpis Kierownika Apteki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spacing w:after="12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2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</w:rPr>
        <w:t>Formularz kwalifikacyjny Dostawc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</w:t>
      </w:r>
    </w:p>
    <w:tbl>
      <w:tblPr>
        <w:tblW w:w="52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2977"/>
      </w:tblGrid>
      <w:tr>
        <w:tblPrEx>
          <w:shd w:val="clear" w:color="auto" w:fill="ced7e7"/>
        </w:tblPrEx>
        <w:trPr>
          <w:trHeight w:val="358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Numer systemowy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b w:val="1"/>
          <w:bCs w:val="1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 xml:space="preserve">Dane Dostawcy </w:t>
      </w:r>
    </w:p>
    <w:tbl>
      <w:tblPr>
        <w:tblW w:w="104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7"/>
        <w:gridCol w:w="5582"/>
        <w:gridCol w:w="4171"/>
      </w:tblGrid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ind w:left="34" w:hanging="34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97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>NAZWA FIRMY</w:t>
            </w:r>
          </w:p>
        </w:tc>
      </w:tr>
      <w:tr>
        <w:tblPrEx>
          <w:shd w:val="clear" w:color="auto" w:fill="ced7e7"/>
        </w:tblPrEx>
        <w:trPr>
          <w:trHeight w:val="512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ind w:left="34" w:hanging="34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97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ADRES SIEDZIBY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ind w:left="34" w:hanging="34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97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ADRES MIEJSCA PROWADZENIA HURTOWNI FARMACEUTYCZNEJ </w:t>
            </w:r>
          </w:p>
        </w:tc>
      </w:tr>
      <w:tr>
        <w:tblPrEx>
          <w:shd w:val="clear" w:color="auto" w:fill="ced7e7"/>
        </w:tblPrEx>
        <w:trPr>
          <w:trHeight w:val="100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ind w:left="567" w:hanging="141"/>
              <w:jc w:val="both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header"/>
              <w:tabs>
                <w:tab w:val="right" w:pos="9044"/>
                <w:tab w:val="clear" w:pos="9072"/>
              </w:tabs>
              <w:ind w:left="567" w:hanging="141"/>
              <w:jc w:val="both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header"/>
              <w:tabs>
                <w:tab w:val="right" w:pos="9044"/>
                <w:tab w:val="clear" w:pos="9072"/>
              </w:tabs>
              <w:ind w:left="567" w:hanging="141"/>
              <w:jc w:val="both"/>
            </w:pP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ind w:left="34" w:hanging="34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5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>NUMER NIP</w:t>
            </w:r>
          </w:p>
        </w:tc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ind w:left="34" w:hanging="34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5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Numer REGON</w:t>
            </w:r>
          </w:p>
        </w:tc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ind w:left="34" w:hanging="34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5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Numer KRS</w:t>
            </w:r>
          </w:p>
        </w:tc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ind w:left="34" w:hanging="34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5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Numer ID z odpowiedniego rejestru (je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li dotyczy)</w:t>
            </w:r>
          </w:p>
        </w:tc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ind w:left="34" w:hanging="34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8</w:t>
            </w:r>
          </w:p>
        </w:tc>
        <w:tc>
          <w:tcPr>
            <w:tcW w:type="dxa" w:w="5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Zakres asortymentowy</w:t>
            </w:r>
          </w:p>
        </w:tc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8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hurtownia pe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noprofilowa</w:t>
            </w:r>
          </w:p>
        </w:tc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hurtownia z ograniczonym asortymentem</w:t>
            </w:r>
          </w:p>
          <w:p>
            <w:pPr>
              <w:pStyle w:val="header"/>
              <w:tabs>
                <w:tab w:val="right" w:pos="9044"/>
                <w:tab w:val="clear" w:pos="9072"/>
              </w:tabs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Zakres dzia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alno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ci:</w:t>
            </w:r>
          </w:p>
          <w:p>
            <w:pPr>
              <w:pStyle w:val="header"/>
              <w:tabs>
                <w:tab w:val="right" w:pos="9044"/>
                <w:tab w:val="clear" w:pos="9072"/>
              </w:tabs>
              <w:jc w:val="both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header"/>
              <w:tabs>
                <w:tab w:val="right" w:pos="9044"/>
                <w:tab w:val="clear" w:pos="9072"/>
              </w:tabs>
              <w:jc w:val="both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78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rodki odurzaj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ce (pe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ny zakres)</w:t>
            </w:r>
          </w:p>
        </w:tc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rodki odurzaj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ce (ograniczony asortyment zakres)</w:t>
            </w:r>
          </w:p>
          <w:p>
            <w:pPr>
              <w:pStyle w:val="header"/>
              <w:tabs>
                <w:tab w:val="right" w:pos="9044"/>
                <w:tab w:val="clear" w:pos="9072"/>
              </w:tabs>
              <w:bidi w:val="0"/>
              <w:ind w:left="0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Zakres:</w:t>
            </w:r>
          </w:p>
          <w:p>
            <w:pPr>
              <w:pStyle w:val="header"/>
              <w:tabs>
                <w:tab w:val="right" w:pos="9044"/>
                <w:tab w:val="clear" w:pos="9072"/>
              </w:tabs>
              <w:jc w:val="both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header"/>
              <w:tabs>
                <w:tab w:val="right" w:pos="9044"/>
                <w:tab w:val="clear" w:pos="9072"/>
              </w:tabs>
              <w:jc w:val="both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substancje psychotropowe (pe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ny zakres)</w:t>
            </w:r>
          </w:p>
        </w:tc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substancje psychotropowe (ograniczony asortyment) Zakres:</w:t>
            </w:r>
          </w:p>
          <w:p>
            <w:pPr>
              <w:pStyle w:val="header"/>
              <w:tabs>
                <w:tab w:val="right" w:pos="9044"/>
                <w:tab w:val="clear" w:pos="9072"/>
              </w:tabs>
              <w:jc w:val="both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00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prekursory narkotykowe (pe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ny zakres)</w:t>
            </w:r>
          </w:p>
        </w:tc>
        <w:tc>
          <w:tcPr>
            <w:tcW w:type="dxa" w:w="41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 prekursory narkotykowe (ograniczony asortyment) Zakres:</w:t>
            </w:r>
          </w:p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ind w:left="34" w:hanging="34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97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jc w:val="both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>NUMERY ZEZWOLE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 xml:space="preserve">Ń 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 xml:space="preserve">(w tym na substancje psychotropowe i 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rodki odurzaj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fr-FR"/>
              </w:rPr>
              <w:t>ce)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7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5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7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4"/>
                <w:tab w:val="clear" w:pos="9072"/>
              </w:tabs>
              <w:ind w:left="567" w:hanging="141"/>
              <w:jc w:val="both"/>
            </w:pPr>
            <w:r>
              <w:rPr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line="240" w:lineRule="auto"/>
        <w:jc w:val="both"/>
        <w:rPr>
          <w:sz w:val="20"/>
          <w:szCs w:val="20"/>
        </w:rPr>
      </w:pPr>
    </w:p>
    <w:p>
      <w:pPr>
        <w:pStyle w:val="header"/>
        <w:tabs>
          <w:tab w:val="right" w:pos="9044"/>
          <w:tab w:val="clear" w:pos="9072"/>
        </w:tabs>
        <w:jc w:val="both"/>
        <w:rPr>
          <w:b w:val="1"/>
          <w:bCs w:val="1"/>
          <w:sz w:val="20"/>
          <w:szCs w:val="20"/>
        </w:rPr>
      </w:pPr>
    </w:p>
    <w:p>
      <w:pPr>
        <w:pStyle w:val="header"/>
        <w:tabs>
          <w:tab w:val="right" w:pos="9044"/>
          <w:tab w:val="clear" w:pos="9072"/>
        </w:tabs>
        <w:jc w:val="both"/>
        <w:rPr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Weryfikacja danych</w:t>
      </w:r>
    </w:p>
    <w:tbl>
      <w:tblPr>
        <w:tblW w:w="101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56"/>
        <w:gridCol w:w="822"/>
      </w:tblGrid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9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Aktualno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zezwolenia</w:t>
            </w:r>
          </w:p>
        </w:tc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9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Potwierdzenie poprawno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ci danych wprowadzonych do systemu komputerowego</w:t>
            </w:r>
          </w:p>
        </w:tc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9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Weryfikacja czy oferowane produkty mieszcz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si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w zakresie zezwolenia na prowadzenie obrotu hurtowego</w:t>
            </w:r>
          </w:p>
        </w:tc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95" w:hRule="atLeast"/>
        </w:trPr>
        <w:tc>
          <w:tcPr>
            <w:tcW w:type="dxa" w:w="101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Uwagi/Za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czniki: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ind w:right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Wyci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g z rejestru hurtowni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ind w:right="0"/>
              <w:jc w:val="both"/>
              <w:rPr>
                <w:sz w:val="20"/>
                <w:szCs w:val="20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Kopia zezwolenia na prowadzenie hurtowni farmaceutycznej</w:t>
            </w:r>
          </w:p>
          <w:p>
            <w:pPr>
              <w:pStyle w:val="List Paragraph"/>
              <w:numPr>
                <w:ilvl w:val="0"/>
                <w:numId w:val="22"/>
              </w:numPr>
              <w:bidi w:val="0"/>
              <w:ind w:right="0"/>
              <w:jc w:val="both"/>
              <w:rPr>
                <w:sz w:val="20"/>
                <w:szCs w:val="20"/>
                <w:rtl w:val="0"/>
                <w:lang w:val="de-DE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KRS, NIP, REGON</w:t>
            </w:r>
          </w:p>
        </w:tc>
      </w:tr>
    </w:tbl>
    <w:p>
      <w:pPr>
        <w:pStyle w:val="Normal.0"/>
        <w:widowControl w:val="0"/>
        <w:spacing w:line="240" w:lineRule="auto"/>
        <w:jc w:val="both"/>
        <w:rPr>
          <w:sz w:val="20"/>
          <w:szCs w:val="20"/>
        </w:rPr>
      </w:pPr>
    </w:p>
    <w:p>
      <w:pPr>
        <w:pStyle w:val="Normal.0"/>
        <w:jc w:val="both"/>
        <w:rPr>
          <w:b w:val="1"/>
          <w:bCs w:val="1"/>
          <w:sz w:val="20"/>
          <w:szCs w:val="20"/>
        </w:rPr>
      </w:pPr>
    </w:p>
    <w:p>
      <w:pPr>
        <w:pStyle w:val="Normal.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WYNIK KWALIFIKACJI</w:t>
      </w:r>
    </w:p>
    <w:p>
      <w:pPr>
        <w:pStyle w:val="Normal.0"/>
        <w:ind w:left="360" w:firstLine="0"/>
        <w:jc w:val="both"/>
        <w:rPr>
          <w:sz w:val="20"/>
          <w:szCs w:val="20"/>
        </w:rPr>
      </w:pPr>
    </w:p>
    <w:tbl>
      <w:tblPr>
        <w:tblW w:w="101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97"/>
        <w:gridCol w:w="1417"/>
        <w:gridCol w:w="926"/>
      </w:tblGrid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708"/>
                <w:tab w:val="left" w:pos="5387"/>
                <w:tab w:val="right" w:pos="9044"/>
                <w:tab w:val="clear" w:pos="9072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ZATWIERDZENIE ODBIORCY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er"/>
              <w:tabs>
                <w:tab w:val="left" w:pos="708"/>
                <w:tab w:val="left" w:pos="5387"/>
                <w:tab w:val="right" w:pos="9044"/>
                <w:tab w:val="clear" w:pos="9072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TAK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left" w:pos="708"/>
                <w:tab w:val="left" w:pos="5387"/>
                <w:tab w:val="right" w:pos="9044"/>
                <w:tab w:val="clear" w:pos="9072"/>
              </w:tabs>
              <w:jc w:val="both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NIE</w:t>
            </w:r>
          </w:p>
        </w:tc>
      </w:tr>
    </w:tbl>
    <w:p>
      <w:pPr>
        <w:pStyle w:val="Normal.0"/>
        <w:widowControl w:val="0"/>
        <w:spacing w:line="240" w:lineRule="auto"/>
        <w:jc w:val="both"/>
        <w:rPr>
          <w:sz w:val="20"/>
          <w:szCs w:val="20"/>
        </w:rPr>
      </w:pPr>
    </w:p>
    <w:p>
      <w:pPr>
        <w:pStyle w:val="Normal.0"/>
        <w:ind w:left="360" w:firstLine="0"/>
        <w:jc w:val="both"/>
        <w:rPr>
          <w:sz w:val="20"/>
          <w:szCs w:val="20"/>
        </w:rPr>
      </w:pPr>
    </w:p>
    <w:p>
      <w:pPr>
        <w:pStyle w:val="Normal.0"/>
        <w:ind w:left="360" w:firstLine="0"/>
        <w:jc w:val="both"/>
        <w:rPr>
          <w:sz w:val="20"/>
          <w:szCs w:val="20"/>
        </w:rPr>
      </w:pPr>
    </w:p>
    <w:tbl>
      <w:tblPr>
        <w:tblW w:w="101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78"/>
      </w:tblGrid>
      <w:tr>
        <w:tblPrEx>
          <w:shd w:val="clear" w:color="auto" w:fill="ced7e7"/>
        </w:tblPrEx>
        <w:trPr>
          <w:trHeight w:val="1503" w:hRule="atLeast"/>
        </w:trPr>
        <w:tc>
          <w:tcPr>
            <w:tcW w:type="dxa" w:w="10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97"/>
            </w:tcMar>
            <w:vAlign w:val="top"/>
          </w:tcPr>
          <w:p>
            <w:pPr>
              <w:pStyle w:val="Normal.0"/>
              <w:ind w:right="317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DATA I PODPIS Kierownika Apteki </w:t>
            </w:r>
          </w:p>
          <w:p>
            <w:pPr>
              <w:pStyle w:val="Normal.0"/>
              <w:ind w:right="317"/>
              <w:jc w:val="both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317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………………………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.0"/>
        <w:widowControl w:val="0"/>
        <w:spacing w:line="240" w:lineRule="auto"/>
        <w:jc w:val="both"/>
        <w:rPr>
          <w:sz w:val="20"/>
          <w:szCs w:val="20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3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Formularz Okresowej Weryfikacji Dostawc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</w:t>
      </w:r>
    </w:p>
    <w:tbl>
      <w:tblPr>
        <w:tblW w:w="906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1"/>
        <w:gridCol w:w="1428"/>
        <w:gridCol w:w="1442"/>
        <w:gridCol w:w="785"/>
        <w:gridCol w:w="3104"/>
        <w:gridCol w:w="1314"/>
      </w:tblGrid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Numer odbiorcy</w:t>
            </w:r>
          </w:p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Nazwa</w:t>
            </w:r>
          </w:p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Adres</w:t>
            </w:r>
          </w:p>
        </w:tc>
        <w:tc>
          <w:tcPr>
            <w:tcW w:type="dxa" w:w="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Numer ID</w:t>
            </w:r>
          </w:p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Aktualno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ść </w:t>
            </w:r>
            <w:r>
              <w:rPr>
                <w:b w:val="1"/>
                <w:bCs w:val="1"/>
                <w:shd w:val="nil" w:color="auto" w:fill="auto"/>
                <w:rtl w:val="0"/>
              </w:rPr>
              <w:t>pozwolenia/uprawnie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ń </w:t>
            </w:r>
            <w:r>
              <w:rPr>
                <w:b w:val="1"/>
                <w:bCs w:val="1"/>
                <w:shd w:val="nil" w:color="auto" w:fill="auto"/>
                <w:rtl w:val="0"/>
              </w:rPr>
              <w:t>TAK/NIE</w:t>
            </w:r>
          </w:p>
        </w:tc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Uwagi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9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b w:val="1"/>
          <w:bCs w:val="1"/>
        </w:rPr>
      </w:pP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</w:pPr>
      <w:r>
        <w:rPr>
          <w:rFonts w:cs="Arial Unicode MS" w:eastAsia="Arial Unicode MS"/>
          <w:rtl w:val="0"/>
        </w:rPr>
        <w:t>Data i podpis osoby wykonuj</w:t>
      </w:r>
      <w:r>
        <w:rPr>
          <w:rFonts w:cs="Arial Unicode MS" w:eastAsia="Arial Unicode MS" w:hint="default"/>
          <w:rtl w:val="0"/>
        </w:rPr>
        <w:t>ą</w:t>
      </w:r>
      <w:r>
        <w:rPr>
          <w:rFonts w:cs="Arial Unicode MS" w:eastAsia="Arial Unicode MS"/>
          <w:rtl w:val="0"/>
        </w:rPr>
        <w:t>cej weryfikacji</w:t>
      </w:r>
    </w:p>
    <w:p>
      <w:pPr>
        <w:pStyle w:val="Normal.0"/>
      </w:pPr>
      <w:r>
        <w:rPr>
          <w:rFonts w:cs="Arial Unicode MS" w:eastAsia="Arial Unicode MS"/>
          <w:rtl w:val="0"/>
        </w:rPr>
        <w:t>Data i podpis Kierownika Apteki</w:t>
      </w:r>
      <w:r/>
    </w:p>
    <w:sectPr>
      <w:headerReference w:type="default" r:id="rId6"/>
      <w:pgSz w:w="11900" w:h="16840" w:orient="portrait"/>
      <w:pgMar w:top="1418" w:right="1418" w:bottom="1418" w:left="1418" w:header="709" w:footer="709"/>
      <w:pgNumType w:start="1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5" w:author="Marta BYLINIAK" w:date="2021-11-20T22:22:00Z">
    <w:p w14:paraId="1111FFFF">
      <w:pPr>
        <w:pStyle w:val="Domyślne"/>
        <w:bidi w:val="0"/>
      </w:pPr>
    </w:p>
    <w:p w14:paraId="11120000">
      <w:pPr>
        <w:pStyle w:val="Domyślne"/>
        <w:bidi w:val="0"/>
      </w:pPr>
      <w:r>
        <w:rPr>
          <w:rFonts w:cs="Arial Unicode MS" w:eastAsia="Arial Unicode MS"/>
          <w:rtl w:val="0"/>
        </w:rPr>
        <w:t>Do wyboru jeden z dw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ch punkt</w:t>
      </w:r>
      <w:r>
        <w:rPr>
          <w:rFonts w:cs="Arial Unicode MS" w:eastAsia="Arial Unicode MS" w:hint="default"/>
          <w:rtl w:val="0"/>
        </w:rPr>
        <w:t>ó</w:t>
      </w:r>
      <w:r>
        <w:rPr>
          <w:rFonts w:cs="Arial Unicode MS" w:eastAsia="Arial Unicode MS"/>
          <w:rtl w:val="0"/>
        </w:rPr>
        <w:t>w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</w:pPr>
    <w:r>
      <w:rPr>
        <w:b w:val="1"/>
        <w:bCs w:val="1"/>
        <w:outline w:val="0"/>
        <w:color w:val="808080"/>
        <w:u w:color="808080"/>
        <w:rtl w:val="0"/>
        <w14:textFill>
          <w14:solidFill>
            <w14:srgbClr w14:val="808080"/>
          </w14:solidFill>
        </w14:textFill>
      </w:rPr>
      <w:t>SOP-XX Kwalifikacja dostawc</w:t>
    </w:r>
    <w:r>
      <w:rPr>
        <w:b w:val="1"/>
        <w:bCs w:val="1"/>
        <w:outline w:val="0"/>
        <w:color w:val="808080"/>
        <w:u w:color="808080"/>
        <w:rtl w:val="0"/>
        <w:lang w:val="es-ES_tradnl"/>
        <w14:textFill>
          <w14:solidFill>
            <w14:srgbClr w14:val="808080"/>
          </w14:solidFill>
        </w14:textFill>
      </w:rPr>
      <w:t>ó</w:t>
    </w:r>
    <w:r>
      <w:rPr>
        <w:b w:val="1"/>
        <w:bCs w:val="1"/>
        <w:outline w:val="0"/>
        <w:color w:val="808080"/>
        <w:u w:color="808080"/>
        <w:rtl w:val="0"/>
        <w14:textFill>
          <w14:solidFill>
            <w14:srgbClr w14:val="808080"/>
          </w14:solidFill>
        </w14:textFill>
      </w:rPr>
      <w:t>w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left"/>
      <w:rPr>
        <w:sz w:val="20"/>
        <w:szCs w:val="20"/>
        <w:shd w:val="nil" w:color="auto" w:fill="auto"/>
        <w:rtl w:val="0"/>
      </w:rPr>
    </w:pPr>
    <w:r>
      <w:rPr>
        <w:sz w:val="20"/>
        <w:szCs w:val="20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3119120</wp:posOffset>
              </wp:positionH>
              <wp:positionV relativeFrom="page">
                <wp:posOffset>469265</wp:posOffset>
              </wp:positionV>
              <wp:extent cx="866775" cy="628650"/>
              <wp:effectExtent l="0" t="0" r="0" b="0"/>
              <wp:wrapNone/>
              <wp:docPr id="1073741825" name="officeArt object" descr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750796" cy="543434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0796" cy="5434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45.6pt;margin-top:37.0pt;width:68.2pt;height:4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750796" cy="543434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0796" cy="5434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sz w:val="20"/>
        <w:szCs w:val="20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457198</wp:posOffset>
              </wp:positionH>
              <wp:positionV relativeFrom="page">
                <wp:posOffset>9921240</wp:posOffset>
              </wp:positionV>
              <wp:extent cx="6845301" cy="6351"/>
              <wp:effectExtent l="0" t="0" r="0" b="0"/>
              <wp:wrapNone/>
              <wp:docPr id="1073741827" name="officeArt object" descr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5301" cy="6351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36.0pt;margin-top:781.2pt;width:539.0pt;height:0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0808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sz w:val="20"/>
        <w:szCs w:val="20"/>
        <w:shd w:val="nil" w:color="auto" w:fill="auto"/>
        <w:rtl w:val="0"/>
      </w:rPr>
      <w:t xml:space="preserve">Apteka&gt;&gt;&gt;&gt;           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clear" w:color="auto" w:fill="ffff00"/>
        <w:rtl w:val="0"/>
      </w:rPr>
    </w:pPr>
    <w:r>
      <w:rPr>
        <w:sz w:val="22"/>
        <w:szCs w:val="22"/>
        <w:shd w:val="nil" w:color="auto" w:fill="auto"/>
        <w:rtl w:val="0"/>
        <w:lang w:val="it-IT"/>
      </w:rPr>
      <w:t xml:space="preserve">Strona </w:t>
    </w:r>
    <w:r>
      <w:rPr>
        <w:b w:val="1"/>
        <w:bCs w:val="1"/>
        <w:sz w:val="22"/>
        <w:szCs w:val="22"/>
        <w:shd w:val="nil" w:color="auto" w:fill="auto"/>
      </w:rPr>
      <w:fldChar w:fldCharType="begin" w:fldLock="0"/>
    </w:r>
    <w:r>
      <w:rPr>
        <w:b w:val="1"/>
        <w:bCs w:val="1"/>
        <w:sz w:val="22"/>
        <w:szCs w:val="22"/>
        <w:shd w:val="nil" w:color="auto" w:fill="auto"/>
      </w:rPr>
      <w:instrText xml:space="preserve"> PAGE </w:instrText>
    </w:r>
    <w:r>
      <w:rPr>
        <w:b w:val="1"/>
        <w:bCs w:val="1"/>
        <w:sz w:val="22"/>
        <w:szCs w:val="22"/>
        <w:shd w:val="nil" w:color="auto" w:fill="auto"/>
      </w:rPr>
      <w:fldChar w:fldCharType="separate" w:fldLock="0"/>
    </w:r>
    <w:r>
      <w:rPr>
        <w:b w:val="1"/>
        <w:bCs w:val="1"/>
        <w:sz w:val="22"/>
        <w:szCs w:val="22"/>
        <w:shd w:val="nil" w:color="auto" w:fill="auto"/>
      </w:rPr>
      <w:fldChar w:fldCharType="end" w:fldLock="0"/>
    </w:r>
    <w:r>
      <w:rPr>
        <w:sz w:val="22"/>
        <w:szCs w:val="22"/>
        <w:shd w:val="nil" w:color="auto" w:fill="auto"/>
        <w:rtl w:val="0"/>
      </w:rPr>
      <w:t xml:space="preserve"> z </w:t>
    </w:r>
    <w:r>
      <w:rPr>
        <w:b w:val="1"/>
        <w:bCs w:val="1"/>
        <w:sz w:val="22"/>
        <w:szCs w:val="22"/>
        <w:shd w:val="nil" w:color="auto" w:fill="auto"/>
      </w:rPr>
      <w:fldChar w:fldCharType="begin" w:fldLock="0"/>
    </w:r>
    <w:r>
      <w:rPr>
        <w:b w:val="1"/>
        <w:bCs w:val="1"/>
        <w:sz w:val="22"/>
        <w:szCs w:val="22"/>
        <w:shd w:val="nil" w:color="auto" w:fill="auto"/>
      </w:rPr>
      <w:instrText xml:space="preserve"> NUMPAGES </w:instrText>
    </w:r>
    <w:r>
      <w:rPr>
        <w:b w:val="1"/>
        <w:bCs w:val="1"/>
        <w:sz w:val="22"/>
        <w:szCs w:val="22"/>
        <w:shd w:val="nil" w:color="auto" w:fill="auto"/>
      </w:rPr>
      <w:fldChar w:fldCharType="separate" w:fldLock="0"/>
    </w:r>
    <w:r>
      <w:rPr>
        <w:b w:val="1"/>
        <w:bCs w:val="1"/>
        <w:sz w:val="22"/>
        <w:szCs w:val="22"/>
        <w:shd w:val="nil" w:color="auto" w:fill="auto"/>
      </w:rPr>
      <w:fldChar w:fldCharType="end" w:fldLock="0"/>
    </w:r>
    <w:r>
      <w:rPr>
        <w:b w:val="1"/>
        <w:bCs w:val="1"/>
        <w:sz w:val="22"/>
        <w:szCs w:val="22"/>
        <w:shd w:val="nil" w:color="auto" w:fill="auto"/>
      </w:rPr>
      <w:tab/>
    </w:r>
    <w:r>
      <w:rPr>
        <w:sz w:val="20"/>
        <w:szCs w:val="20"/>
        <w:shd w:val="clear" w:color="auto" w:fill="ffff00"/>
        <w:rtl w:val="0"/>
      </w:rPr>
      <w:t>SOP-XX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clear" w:color="auto" w:fill="ffff00"/>
        <w:rtl w:val="0"/>
      </w:rPr>
    </w:pPr>
    <w:r>
      <w:rPr>
        <w:sz w:val="20"/>
        <w:szCs w:val="20"/>
        <w:shd w:val="clear" w:color="auto" w:fill="ffff00"/>
        <w:rtl w:val="0"/>
      </w:rPr>
      <w:t xml:space="preserve">Wersja: 01 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nil" w:color="auto" w:fill="auto"/>
        <w:rtl w:val="0"/>
      </w:rPr>
    </w:pPr>
    <w:r>
      <w:rPr>
        <w:sz w:val="20"/>
        <w:szCs w:val="20"/>
        <w:shd w:val="clear" w:color="auto" w:fill="ffff00"/>
        <w:rtl w:val="0"/>
      </w:rPr>
      <w:t>Data wdro</w:t>
    </w:r>
    <w:r>
      <w:rPr>
        <w:sz w:val="20"/>
        <w:szCs w:val="20"/>
        <w:shd w:val="clear" w:color="auto" w:fill="ffff00"/>
        <w:rtl w:val="0"/>
      </w:rPr>
      <w:t>ż</w:t>
    </w:r>
    <w:r>
      <w:rPr>
        <w:sz w:val="20"/>
        <w:szCs w:val="20"/>
        <w:shd w:val="clear" w:color="auto" w:fill="ffff00"/>
        <w:rtl w:val="0"/>
      </w:rPr>
      <w:t>enia: XXXX</w:t>
    </w:r>
  </w:p>
  <w:p>
    <w:pPr>
      <w:pStyle w:val="header"/>
      <w:jc w:val="right"/>
    </w:pPr>
    <w:r>
      <w:rPr>
        <w:sz w:val="20"/>
        <w:szCs w:val="20"/>
        <w:shd w:val="nil" w:color="auto" w:fill="auto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3119120</wp:posOffset>
              </wp:positionH>
              <wp:positionV relativeFrom="page">
                <wp:posOffset>469265</wp:posOffset>
              </wp:positionV>
              <wp:extent cx="866775" cy="628650"/>
              <wp:effectExtent l="0" t="0" r="0" b="0"/>
              <wp:wrapNone/>
              <wp:docPr id="1073741828" name="officeArt object" descr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750796" cy="543434"/>
                                <wp:effectExtent l="0" t="0" r="0" b="0"/>
                                <wp:docPr id="1073741829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9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0796" cy="5434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45.6pt;margin-top:37.0pt;width:68.2pt;height:4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750796" cy="543434"/>
                          <wp:effectExtent l="0" t="0" r="0" b="0"/>
                          <wp:docPr id="1073741829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9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0796" cy="5434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457198</wp:posOffset>
              </wp:positionH>
              <wp:positionV relativeFrom="page">
                <wp:posOffset>9921240</wp:posOffset>
              </wp:positionV>
              <wp:extent cx="6845301" cy="6351"/>
              <wp:effectExtent l="0" t="0" r="0" b="0"/>
              <wp:wrapNone/>
              <wp:docPr id="1073741830" name="officeArt object" descr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5301" cy="6351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36.0pt;margin-top:781.2pt;width:539.0pt;height:0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80808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Zaimportowany styl 2"/>
  </w:abstractNum>
  <w:abstractNum w:abstractNumId="2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Zaimportowany styl 3"/>
  </w:abstractNum>
  <w:abstractNum w:abstractNumId="4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355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Zaimportowany styl 4"/>
  </w:abstractNum>
  <w:abstractNum w:abstractNumId="6">
    <w:multiLevelType w:val="hybridMultilevel"/>
    <w:styleLink w:val="Zaimportowany styl 4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Zaimportowany styl 1"/>
  </w:abstractNum>
  <w:abstractNum w:abstractNumId="8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420" w:hanging="4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Zaimportowany styl 5"/>
  </w:abstractNum>
  <w:abstractNum w:abstractNumId="10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85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13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.%4."/>
      <w:lvlJc w:val="left"/>
      <w:pPr>
        <w:ind w:left="1586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.%4.%5."/>
      <w:lvlJc w:val="left"/>
      <w:pPr>
        <w:ind w:left="2090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.%4.%5.%6."/>
      <w:lvlJc w:val="left"/>
      <w:pPr>
        <w:ind w:left="2594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.%4.%5.%6.%7."/>
      <w:lvlJc w:val="left"/>
      <w:pPr>
        <w:ind w:left="309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.%4.%5.%6.%7.%8."/>
      <w:lvlJc w:val="left"/>
      <w:pPr>
        <w:ind w:left="3602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.%4.%5.%6.%7.%8.%9."/>
      <w:lvlJc w:val="left"/>
      <w:pPr>
        <w:ind w:left="4178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1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57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7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9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17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3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5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77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5"/>
    </w:lvlOverride>
  </w:num>
  <w:num w:numId="3">
    <w:abstractNumId w:val="0"/>
    <w:lvlOverride w:ilvl="0">
      <w:startOverride w:val="6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5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1134"/>
          </w:tabs>
          <w:ind w:left="36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</w:num>
  <w:num w:numId="12">
    <w:abstractNumId w:val="7"/>
  </w:num>
  <w:num w:numId="13">
    <w:abstractNumId w:val="7"/>
    <w:lvlOverride w:ilvl="0">
      <w:startOverride w:val="5"/>
    </w:lvlOverride>
  </w:num>
  <w:num w:numId="14">
    <w:abstractNumId w:val="10"/>
  </w:num>
  <w:num w:numId="15">
    <w:abstractNumId w:val="9"/>
  </w:num>
  <w:num w:numId="16">
    <w:abstractNumId w:val="9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8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55" w:hanging="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ind w:left="1728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3.%4.%5."/>
        <w:lvlJc w:val="left"/>
        <w:pPr>
          <w:ind w:left="2232" w:hanging="9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3.%4.%5.%6."/>
        <w:lvlJc w:val="left"/>
        <w:pPr>
          <w:ind w:left="2736" w:hanging="10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3.%4.%5.%6.%7."/>
        <w:lvlJc w:val="left"/>
        <w:pPr>
          <w:ind w:left="3240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3.%4.%5.%6.%7.%8."/>
        <w:lvlJc w:val="left"/>
        <w:pPr>
          <w:ind w:left="3744" w:hanging="1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3.%4.%5.%6.%7.%8.%9."/>
        <w:lvlJc w:val="left"/>
        <w:pPr>
          <w:ind w:left="4320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8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55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3.%4.%5."/>
        <w:lvlJc w:val="left"/>
        <w:pPr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3.%4.%5.%6."/>
        <w:lvlJc w:val="left"/>
        <w:pPr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3.%4.%5.%6.%7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3.%4.%5.%6.%7.%8."/>
        <w:lvlJc w:val="left"/>
        <w:pPr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3.%4.%5.%6.%7.%8.%9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9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8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276" w:hanging="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3.%4."/>
        <w:lvlJc w:val="left"/>
        <w:pPr>
          <w:ind w:left="1649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3.%4.%5."/>
        <w:lvlJc w:val="left"/>
        <w:pPr>
          <w:ind w:left="2153" w:hanging="9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3.%4.%5.%6."/>
        <w:lvlJc w:val="left"/>
        <w:pPr>
          <w:ind w:left="2657" w:hanging="10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3.%4.%5.%6.%7."/>
        <w:lvlJc w:val="left"/>
        <w:pPr>
          <w:ind w:left="3161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3.%4.%5.%6.%7.%8."/>
        <w:lvlJc w:val="left"/>
        <w:pPr>
          <w:ind w:left="3665" w:hanging="1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3.%4.%5.%6.%7.%8.%9."/>
        <w:lvlJc w:val="left"/>
        <w:pPr>
          <w:ind w:left="4241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58" w:hanging="64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355" w:hanging="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728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2232" w:hanging="9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2736" w:hanging="10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3240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3744" w:hanging="1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4320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58" w:hanging="64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276" w:hanging="6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649" w:hanging="7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2153" w:hanging="9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2657" w:hanging="10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3161" w:hanging="12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3665" w:hanging="1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4241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7"/>
    <w:lvlOverride w:ilvl="0">
      <w:startOverride w:val="6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044" w:leader="dot"/>
      </w:tabs>
      <w:suppressAutoHyphens w:val="0"/>
      <w:bidi w:val="0"/>
      <w:spacing w:before="0" w:after="1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240" w:line="276" w:lineRule="auto"/>
      <w:ind w:left="0" w:right="0" w:firstLine="0"/>
      <w:jc w:val="both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4"/>
      </w:numPr>
    </w:pPr>
  </w:style>
  <w:style w:type="numbering" w:styleId="Zaimportowany styl 3">
    <w:name w:val="Zaimportowany styl 3"/>
    <w:pPr>
      <w:numPr>
        <w:numId w:val="6"/>
      </w:numPr>
    </w:pPr>
  </w:style>
  <w:style w:type="numbering" w:styleId="Zaimportowany styl 4">
    <w:name w:val="Zaimportowany styl 4"/>
    <w:pPr>
      <w:numPr>
        <w:numId w:val="8"/>
      </w:numPr>
    </w:pPr>
  </w:style>
  <w:style w:type="numbering" w:styleId="Zaimportowany styl 1">
    <w:name w:val="Zaimportowany styl 1"/>
    <w:pPr>
      <w:numPr>
        <w:numId w:val="11"/>
      </w:numPr>
    </w:pPr>
  </w:style>
  <w:style w:type="numbering" w:styleId="Zaimportowany styl 5">
    <w:name w:val="Zaimportowany styl 5"/>
    <w:pPr>
      <w:numPr>
        <w:numId w:val="14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comments" Target="comment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